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1E49" w14:textId="77777777" w:rsidR="00E877DE" w:rsidRDefault="00E877DE" w:rsidP="00050894">
      <w:pPr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14:paraId="005887E7" w14:textId="77777777" w:rsidR="00E877DE" w:rsidRDefault="00E877DE" w:rsidP="00050894">
      <w:pPr>
        <w:rPr>
          <w:rFonts w:ascii="Times New Roman" w:hAnsi="Times New Roman" w:cs="Times New Roman"/>
          <w:b/>
          <w:sz w:val="52"/>
          <w:szCs w:val="52"/>
        </w:rPr>
      </w:pPr>
    </w:p>
    <w:p w14:paraId="1116E92D" w14:textId="77777777" w:rsidR="00A369DB" w:rsidRDefault="00A369DB" w:rsidP="00A369D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Заява </w:t>
      </w:r>
      <w:r w:rsidRPr="00532510">
        <w:rPr>
          <w:rFonts w:ascii="Times New Roman" w:hAnsi="Times New Roman" w:cs="Times New Roman"/>
          <w:b/>
          <w:sz w:val="52"/>
          <w:szCs w:val="52"/>
        </w:rPr>
        <w:t xml:space="preserve">ВООЗ </w:t>
      </w:r>
      <w:r w:rsidRPr="00532510">
        <w:rPr>
          <w:rFonts w:ascii="Times New Roman" w:hAnsi="Times New Roman" w:cs="Times New Roman"/>
          <w:b/>
          <w:sz w:val="52"/>
          <w:szCs w:val="52"/>
          <w:lang w:val="uk-UA"/>
        </w:rPr>
        <w:t>щодо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532510">
        <w:rPr>
          <w:rFonts w:ascii="Times New Roman" w:hAnsi="Times New Roman" w:cs="Times New Roman"/>
          <w:b/>
          <w:sz w:val="52"/>
          <w:szCs w:val="52"/>
        </w:rPr>
        <w:t>кращ</w:t>
      </w:r>
      <w:r w:rsidRPr="00532510">
        <w:rPr>
          <w:rFonts w:ascii="Times New Roman" w:hAnsi="Times New Roman" w:cs="Times New Roman"/>
          <w:b/>
          <w:sz w:val="52"/>
          <w:szCs w:val="52"/>
          <w:lang w:val="uk-UA"/>
        </w:rPr>
        <w:t>их</w:t>
      </w:r>
      <w:proofErr w:type="spellEnd"/>
      <w:r w:rsidRPr="00532510">
        <w:rPr>
          <w:rFonts w:ascii="Times New Roman" w:hAnsi="Times New Roman" w:cs="Times New Roman"/>
          <w:b/>
          <w:sz w:val="52"/>
          <w:szCs w:val="52"/>
        </w:rPr>
        <w:t xml:space="preserve"> практик </w:t>
      </w:r>
      <w:r>
        <w:rPr>
          <w:rFonts w:ascii="Times New Roman" w:hAnsi="Times New Roman" w:cs="Times New Roman"/>
          <w:b/>
          <w:sz w:val="52"/>
          <w:szCs w:val="52"/>
          <w:lang w:val="uk-UA"/>
        </w:rPr>
        <w:t>застосування</w:t>
      </w:r>
      <w:r w:rsidRPr="00532510">
        <w:rPr>
          <w:rFonts w:ascii="Times New Roman" w:hAnsi="Times New Roman" w:cs="Times New Roman"/>
          <w:b/>
          <w:sz w:val="52"/>
          <w:szCs w:val="52"/>
        </w:rPr>
        <w:t xml:space="preserve"> бедаквіліну та </w:t>
      </w:r>
      <w:proofErr w:type="spellStart"/>
      <w:r w:rsidRPr="00532510">
        <w:rPr>
          <w:rFonts w:ascii="Times New Roman" w:hAnsi="Times New Roman" w:cs="Times New Roman"/>
          <w:b/>
          <w:sz w:val="52"/>
          <w:szCs w:val="52"/>
        </w:rPr>
        <w:t>деламаніду</w:t>
      </w:r>
      <w:proofErr w:type="spellEnd"/>
      <w:r w:rsidRPr="00532510">
        <w:rPr>
          <w:rFonts w:ascii="Times New Roman" w:hAnsi="Times New Roman" w:cs="Times New Roman"/>
          <w:b/>
          <w:sz w:val="52"/>
          <w:szCs w:val="52"/>
        </w:rPr>
        <w:t xml:space="preserve"> поза </w:t>
      </w:r>
      <w:proofErr w:type="spellStart"/>
      <w:r w:rsidRPr="00532510">
        <w:rPr>
          <w:rFonts w:ascii="Times New Roman" w:hAnsi="Times New Roman" w:cs="Times New Roman"/>
          <w:b/>
          <w:sz w:val="52"/>
          <w:szCs w:val="52"/>
        </w:rPr>
        <w:t>зареєстрованими</w:t>
      </w:r>
      <w:proofErr w:type="spellEnd"/>
      <w:r w:rsidRPr="00532510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532510">
        <w:rPr>
          <w:rFonts w:ascii="Times New Roman" w:hAnsi="Times New Roman" w:cs="Times New Roman"/>
          <w:b/>
          <w:sz w:val="52"/>
          <w:szCs w:val="52"/>
        </w:rPr>
        <w:t>показаннями</w:t>
      </w:r>
      <w:proofErr w:type="spellEnd"/>
      <w:r w:rsidRPr="00532510">
        <w:rPr>
          <w:rFonts w:ascii="Times New Roman" w:hAnsi="Times New Roman" w:cs="Times New Roman"/>
          <w:b/>
          <w:sz w:val="52"/>
          <w:szCs w:val="52"/>
        </w:rPr>
        <w:t xml:space="preserve"> («</w:t>
      </w:r>
      <w:proofErr w:type="spellStart"/>
      <w:r w:rsidRPr="00532510">
        <w:rPr>
          <w:rFonts w:ascii="Times New Roman" w:hAnsi="Times New Roman" w:cs="Times New Roman"/>
          <w:b/>
          <w:sz w:val="52"/>
          <w:szCs w:val="52"/>
        </w:rPr>
        <w:t>off-label</w:t>
      </w:r>
      <w:proofErr w:type="spellEnd"/>
      <w:r w:rsidRPr="00532510">
        <w:rPr>
          <w:rFonts w:ascii="Times New Roman" w:hAnsi="Times New Roman" w:cs="Times New Roman"/>
          <w:b/>
          <w:sz w:val="52"/>
          <w:szCs w:val="52"/>
        </w:rPr>
        <w:t xml:space="preserve">») для </w:t>
      </w:r>
      <w:proofErr w:type="spellStart"/>
      <w:r w:rsidRPr="00532510">
        <w:rPr>
          <w:rFonts w:ascii="Times New Roman" w:hAnsi="Times New Roman" w:cs="Times New Roman"/>
          <w:b/>
          <w:sz w:val="52"/>
          <w:szCs w:val="52"/>
        </w:rPr>
        <w:t>лікування</w:t>
      </w:r>
      <w:proofErr w:type="spellEnd"/>
      <w:r w:rsidRPr="00532510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532510">
        <w:rPr>
          <w:rFonts w:ascii="Times New Roman" w:hAnsi="Times New Roman" w:cs="Times New Roman"/>
          <w:b/>
          <w:sz w:val="52"/>
          <w:szCs w:val="52"/>
        </w:rPr>
        <w:t>мультирезистентного</w:t>
      </w:r>
      <w:proofErr w:type="spellEnd"/>
      <w:r w:rsidRPr="00532510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532510">
        <w:rPr>
          <w:rFonts w:ascii="Times New Roman" w:hAnsi="Times New Roman" w:cs="Times New Roman"/>
          <w:b/>
          <w:sz w:val="52"/>
          <w:szCs w:val="52"/>
        </w:rPr>
        <w:t>туберкульозу</w:t>
      </w:r>
      <w:proofErr w:type="spellEnd"/>
    </w:p>
    <w:p w14:paraId="5F6250EE" w14:textId="77777777" w:rsidR="00E877DE" w:rsidRDefault="00E877DE" w:rsidP="00050894">
      <w:pPr>
        <w:rPr>
          <w:rFonts w:ascii="Times New Roman" w:hAnsi="Times New Roman" w:cs="Times New Roman"/>
          <w:b/>
          <w:sz w:val="52"/>
          <w:szCs w:val="52"/>
        </w:rPr>
      </w:pPr>
    </w:p>
    <w:p w14:paraId="59C79426" w14:textId="77777777" w:rsidR="00E877DE" w:rsidRDefault="00E877DE" w:rsidP="00050894">
      <w:pPr>
        <w:rPr>
          <w:rFonts w:ascii="Times New Roman" w:hAnsi="Times New Roman" w:cs="Times New Roman"/>
          <w:b/>
          <w:sz w:val="52"/>
          <w:szCs w:val="52"/>
        </w:rPr>
      </w:pPr>
    </w:p>
    <w:p w14:paraId="588B6E4A" w14:textId="77777777" w:rsidR="00E877DE" w:rsidRDefault="00E877DE" w:rsidP="00050894">
      <w:pPr>
        <w:rPr>
          <w:rFonts w:ascii="Times New Roman" w:hAnsi="Times New Roman" w:cs="Times New Roman"/>
          <w:b/>
          <w:sz w:val="52"/>
          <w:szCs w:val="52"/>
        </w:rPr>
      </w:pPr>
    </w:p>
    <w:p w14:paraId="68E60BCE" w14:textId="372ADAA1" w:rsidR="00023C70" w:rsidRDefault="00023C70" w:rsidP="00E877DE">
      <w:pPr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2ADE9C3E" w14:textId="77777777" w:rsidR="00041369" w:rsidRDefault="00041369" w:rsidP="00E877DE">
      <w:pPr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391CC520" w14:textId="77777777" w:rsidR="00041369" w:rsidRDefault="00041369" w:rsidP="00E877DE">
      <w:pPr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1FC324DC" w14:textId="77777777" w:rsidR="00041369" w:rsidRDefault="00041369" w:rsidP="00E877DE">
      <w:pPr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1C69C34C" w14:textId="77777777" w:rsidR="00041369" w:rsidRDefault="00041369" w:rsidP="00E877DE">
      <w:pPr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2075F701" w14:textId="77777777" w:rsidR="00041369" w:rsidRDefault="00041369" w:rsidP="00E877DE">
      <w:pPr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6891A446" w14:textId="77777777" w:rsidR="00041369" w:rsidRPr="00A369DB" w:rsidRDefault="00041369" w:rsidP="00E877DE">
      <w:pPr>
        <w:rPr>
          <w:rFonts w:ascii="Times New Roman" w:hAnsi="Times New Roman" w:cs="Times New Roman"/>
          <w:b/>
          <w:sz w:val="52"/>
          <w:szCs w:val="52"/>
          <w:lang w:val="uk-UA"/>
        </w:rPr>
      </w:pPr>
    </w:p>
    <w:p w14:paraId="516FBC51" w14:textId="3ADCD715" w:rsidR="00E877DE" w:rsidRPr="00E877DE" w:rsidRDefault="00F51906" w:rsidP="00E877D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Бедаквілін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 </w:t>
      </w:r>
      <w:proofErr w:type="spellStart"/>
      <w:r w:rsidR="00E877DE" w:rsidRPr="00E877DE">
        <w:rPr>
          <w:rFonts w:ascii="Times New Roman" w:hAnsi="Times New Roman" w:cs="Times New Roman"/>
          <w:b/>
          <w:color w:val="FF0000"/>
          <w:sz w:val="28"/>
          <w:szCs w:val="28"/>
        </w:rPr>
        <w:t>деламанід</w:t>
      </w:r>
      <w:proofErr w:type="spellEnd"/>
      <w:r w:rsidR="00E877DE" w:rsidRPr="00E877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коротка </w:t>
      </w:r>
      <w:r w:rsidR="00E877DE" w:rsidRPr="00E877D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історія</w:t>
      </w:r>
      <w:r w:rsidR="00E877DE" w:rsidRPr="00E877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E877DE" w:rsidRPr="00E877DE">
        <w:rPr>
          <w:rFonts w:ascii="Times New Roman" w:hAnsi="Times New Roman" w:cs="Times New Roman"/>
          <w:b/>
          <w:color w:val="FF0000"/>
          <w:sz w:val="28"/>
          <w:szCs w:val="28"/>
        </w:rPr>
        <w:t>реєстрації</w:t>
      </w:r>
      <w:proofErr w:type="spellEnd"/>
      <w:r w:rsidR="00E877DE" w:rsidRPr="00E877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 </w:t>
      </w:r>
      <w:proofErr w:type="spellStart"/>
      <w:r w:rsidRPr="00F51906">
        <w:rPr>
          <w:rFonts w:ascii="Times New Roman" w:hAnsi="Times New Roman" w:cs="Times New Roman"/>
          <w:b/>
          <w:color w:val="FF0000"/>
          <w:sz w:val="28"/>
          <w:szCs w:val="28"/>
        </w:rPr>
        <w:t>погодження</w:t>
      </w:r>
      <w:proofErr w:type="spellEnd"/>
      <w:r w:rsidRPr="00F519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 </w:t>
      </w:r>
      <w:proofErr w:type="spellStart"/>
      <w:r w:rsidRPr="00F51906">
        <w:rPr>
          <w:rFonts w:ascii="Times New Roman" w:hAnsi="Times New Roman" w:cs="Times New Roman"/>
          <w:b/>
          <w:color w:val="FF0000"/>
          <w:sz w:val="28"/>
          <w:szCs w:val="28"/>
        </w:rPr>
        <w:t>застосування</w:t>
      </w:r>
      <w:proofErr w:type="spellEnd"/>
    </w:p>
    <w:p w14:paraId="46985EFE" w14:textId="77777777" w:rsidR="00E877DE" w:rsidRPr="00E877DE" w:rsidRDefault="00E877DE" w:rsidP="00E877DE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proofErr w:type="spellStart"/>
      <w:r w:rsidRPr="00E877DE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Бедаквілін</w:t>
      </w:r>
      <w:proofErr w:type="spellEnd"/>
    </w:p>
    <w:p w14:paraId="5E8121DE" w14:textId="79046F2F" w:rsidR="00E877DE" w:rsidRPr="00E877DE" w:rsidRDefault="00E877DE" w:rsidP="00E877DE">
      <w:pPr>
        <w:rPr>
          <w:rFonts w:ascii="Times New Roman" w:hAnsi="Times New Roman" w:cs="Times New Roman"/>
          <w:sz w:val="28"/>
          <w:szCs w:val="28"/>
        </w:rPr>
      </w:pPr>
      <w:r w:rsidRPr="00E877DE">
        <w:rPr>
          <w:rFonts w:ascii="Times New Roman" w:hAnsi="Times New Roman" w:cs="Times New Roman"/>
          <w:sz w:val="28"/>
          <w:szCs w:val="28"/>
        </w:rPr>
        <w:t xml:space="preserve">• У </w:t>
      </w:r>
      <w:proofErr w:type="spellStart"/>
      <w:r w:rsidRPr="00E877DE">
        <w:rPr>
          <w:rFonts w:ascii="Times New Roman" w:hAnsi="Times New Roman" w:cs="Times New Roman"/>
          <w:sz w:val="28"/>
          <w:szCs w:val="28"/>
        </w:rPr>
        <w:t>грудні</w:t>
      </w:r>
      <w:proofErr w:type="spellEnd"/>
      <w:r w:rsidRPr="00E877DE">
        <w:rPr>
          <w:rFonts w:ascii="Times New Roman" w:hAnsi="Times New Roman" w:cs="Times New Roman"/>
          <w:sz w:val="28"/>
          <w:szCs w:val="28"/>
        </w:rPr>
        <w:t xml:space="preserve"> 2012 року </w:t>
      </w:r>
      <w:proofErr w:type="spellStart"/>
      <w:r w:rsidRPr="00E877D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877DE">
        <w:rPr>
          <w:rFonts w:ascii="Times New Roman" w:hAnsi="Times New Roman" w:cs="Times New Roman"/>
          <w:sz w:val="28"/>
          <w:szCs w:val="28"/>
        </w:rPr>
        <w:t xml:space="preserve"> з контролю за </w:t>
      </w:r>
      <w:proofErr w:type="spellStart"/>
      <w:r w:rsidRPr="00E877DE">
        <w:rPr>
          <w:rFonts w:ascii="Times New Roman" w:hAnsi="Times New Roman" w:cs="Times New Roman"/>
          <w:sz w:val="28"/>
          <w:szCs w:val="28"/>
        </w:rPr>
        <w:t>харчовими</w:t>
      </w:r>
      <w:proofErr w:type="spellEnd"/>
      <w:r w:rsidRPr="00E877DE">
        <w:rPr>
          <w:rFonts w:ascii="Times New Roman" w:hAnsi="Times New Roman" w:cs="Times New Roman"/>
          <w:sz w:val="28"/>
          <w:szCs w:val="28"/>
        </w:rPr>
        <w:t xml:space="preserve"> продуктами та </w:t>
      </w:r>
      <w:proofErr w:type="spellStart"/>
      <w:r w:rsidRPr="00E877DE">
        <w:rPr>
          <w:rFonts w:ascii="Times New Roman" w:hAnsi="Times New Roman" w:cs="Times New Roman"/>
          <w:sz w:val="28"/>
          <w:szCs w:val="28"/>
        </w:rPr>
        <w:t>лікарськими</w:t>
      </w:r>
      <w:proofErr w:type="spellEnd"/>
      <w:r w:rsidRPr="00E87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DE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E877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77DE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E87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D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87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DE">
        <w:rPr>
          <w:rFonts w:ascii="Times New Roman" w:hAnsi="Times New Roman" w:cs="Times New Roman"/>
          <w:sz w:val="28"/>
          <w:szCs w:val="28"/>
        </w:rPr>
        <w:t>Drug</w:t>
      </w:r>
      <w:proofErr w:type="spellEnd"/>
      <w:r w:rsidRPr="00E87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DE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Pr="00E877DE">
        <w:rPr>
          <w:rFonts w:ascii="Times New Roman" w:hAnsi="Times New Roman" w:cs="Times New Roman"/>
          <w:sz w:val="28"/>
          <w:szCs w:val="28"/>
        </w:rPr>
        <w:t xml:space="preserve"> — FDA), США,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затверджено використання </w:t>
      </w:r>
      <w:r w:rsidR="00A95C63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Pr="00E877DE">
        <w:rPr>
          <w:rFonts w:ascii="Times New Roman" w:hAnsi="Times New Roman" w:cs="Times New Roman"/>
          <w:sz w:val="28"/>
          <w:szCs w:val="28"/>
        </w:rPr>
        <w:t>едаквілін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04DED">
        <w:rPr>
          <w:rFonts w:ascii="Times New Roman" w:hAnsi="Times New Roman" w:cs="Times New Roman"/>
          <w:sz w:val="28"/>
          <w:szCs w:val="28"/>
        </w:rPr>
        <w:t>,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антибіотик</w:t>
      </w:r>
      <w:r w:rsidR="00E04DE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04DED">
        <w:rPr>
          <w:rFonts w:ascii="Times New Roman" w:hAnsi="Times New Roman" w:cs="Times New Roman"/>
          <w:sz w:val="28"/>
          <w:szCs w:val="28"/>
        </w:rPr>
        <w:t xml:space="preserve">, </w:t>
      </w:r>
      <w:r w:rsidR="009F781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F7819">
        <w:rPr>
          <w:rFonts w:ascii="Times New Roman" w:hAnsi="Times New Roman" w:cs="Times New Roman"/>
          <w:sz w:val="28"/>
          <w:szCs w:val="28"/>
        </w:rPr>
        <w:t>схемі</w:t>
      </w:r>
      <w:proofErr w:type="spellEnd"/>
      <w:r w:rsidR="009F7819">
        <w:rPr>
          <w:rFonts w:ascii="Times New Roman" w:hAnsi="Times New Roman" w:cs="Times New Roman"/>
          <w:sz w:val="28"/>
          <w:szCs w:val="28"/>
        </w:rPr>
        <w:t xml:space="preserve"> </w:t>
      </w:r>
      <w:r w:rsidR="003A5BB3">
        <w:rPr>
          <w:rFonts w:ascii="Times New Roman" w:hAnsi="Times New Roman" w:cs="Times New Roman"/>
          <w:sz w:val="28"/>
          <w:szCs w:val="28"/>
          <w:lang w:val="uk-UA"/>
        </w:rPr>
        <w:t>комбінованої терапії для лікування</w:t>
      </w:r>
      <w:r w:rsidRPr="00E87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7DE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E877DE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ультирезистентни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туберкульо</w:t>
      </w:r>
      <w:r>
        <w:rPr>
          <w:rFonts w:ascii="Times New Roman" w:hAnsi="Times New Roman" w:cs="Times New Roman"/>
          <w:sz w:val="28"/>
          <w:szCs w:val="28"/>
          <w:lang w:val="uk-UA"/>
        </w:rPr>
        <w:t>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МР ТБ</w:t>
      </w:r>
      <w:r w:rsidRPr="00E877DE">
        <w:rPr>
          <w:rFonts w:ascii="Times New Roman" w:hAnsi="Times New Roman" w:cs="Times New Roman"/>
          <w:sz w:val="28"/>
          <w:szCs w:val="28"/>
        </w:rPr>
        <w:t>),</w:t>
      </w:r>
      <w:r w:rsidR="00E04D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04DED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E04DED">
        <w:rPr>
          <w:rFonts w:ascii="Times New Roman" w:hAnsi="Times New Roman" w:cs="Times New Roman"/>
          <w:sz w:val="28"/>
          <w:szCs w:val="28"/>
        </w:rPr>
        <w:t>, коли</w:t>
      </w:r>
      <w:r w:rsidRPr="00E87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81D" w:rsidRPr="00B6681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B6681D" w:rsidRPr="00B66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81D" w:rsidRPr="00B6681D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="00B6681D" w:rsidRPr="00B6681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B6681D" w:rsidRPr="00B6681D">
        <w:rPr>
          <w:rFonts w:ascii="Times New Roman" w:hAnsi="Times New Roman" w:cs="Times New Roman"/>
          <w:sz w:val="28"/>
          <w:szCs w:val="28"/>
        </w:rPr>
        <w:t>недоступними</w:t>
      </w:r>
      <w:proofErr w:type="spellEnd"/>
      <w:r w:rsidR="00B6681D" w:rsidRPr="00B6681D">
        <w:rPr>
          <w:rFonts w:ascii="Times New Roman" w:hAnsi="Times New Roman" w:cs="Times New Roman"/>
          <w:sz w:val="28"/>
          <w:szCs w:val="28"/>
        </w:rPr>
        <w:t xml:space="preserve"> </w:t>
      </w:r>
      <w:r w:rsidRPr="00E877DE">
        <w:rPr>
          <w:rFonts w:ascii="Times New Roman" w:hAnsi="Times New Roman" w:cs="Times New Roman"/>
          <w:sz w:val="28"/>
          <w:szCs w:val="28"/>
        </w:rPr>
        <w:t>(1), (2).</w:t>
      </w:r>
    </w:p>
    <w:p w14:paraId="1AFD3B8F" w14:textId="3A2A5CB4" w:rsidR="00E877DE" w:rsidRPr="00E877DE" w:rsidRDefault="00E877DE" w:rsidP="00E877DE">
      <w:pPr>
        <w:rPr>
          <w:rFonts w:ascii="Times New Roman" w:hAnsi="Times New Roman" w:cs="Times New Roman"/>
          <w:sz w:val="28"/>
          <w:szCs w:val="28"/>
        </w:rPr>
      </w:pPr>
      <w:r w:rsidRPr="00E877D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982D5B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="00982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22E8" w:rsidRPr="001022E8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="001022E8" w:rsidRPr="00102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2E8" w:rsidRPr="001022E8">
        <w:rPr>
          <w:rFonts w:ascii="Times New Roman" w:hAnsi="Times New Roman" w:cs="Times New Roman"/>
          <w:sz w:val="28"/>
          <w:szCs w:val="28"/>
        </w:rPr>
        <w:t>агенція</w:t>
      </w:r>
      <w:proofErr w:type="spellEnd"/>
      <w:r w:rsidR="001022E8" w:rsidRPr="001022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022E8" w:rsidRPr="001022E8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="001022E8" w:rsidRPr="00102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2E8" w:rsidRPr="001022E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1022E8" w:rsidRPr="001022E8">
        <w:rPr>
          <w:rFonts w:ascii="Times New Roman" w:hAnsi="Times New Roman" w:cs="Times New Roman"/>
          <w:sz w:val="28"/>
          <w:szCs w:val="28"/>
        </w:rPr>
        <w:t xml:space="preserve"> (</w:t>
      </w:r>
      <w:r w:rsidR="00B6681D"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 w:rsidR="001022E8" w:rsidRPr="001022E8">
        <w:rPr>
          <w:rFonts w:ascii="Times New Roman" w:hAnsi="Times New Roman" w:cs="Times New Roman"/>
          <w:sz w:val="28"/>
          <w:szCs w:val="28"/>
        </w:rPr>
        <w:t>EMA)</w:t>
      </w:r>
      <w:r w:rsidRPr="00E877DE">
        <w:rPr>
          <w:rFonts w:ascii="Times New Roman" w:hAnsi="Times New Roman" w:cs="Times New Roman"/>
          <w:sz w:val="28"/>
          <w:szCs w:val="28"/>
        </w:rPr>
        <w:t xml:space="preserve"> (3) та </w:t>
      </w:r>
      <w:proofErr w:type="spellStart"/>
      <w:r w:rsidRPr="00E877DE">
        <w:rPr>
          <w:rFonts w:ascii="Times New Roman" w:hAnsi="Times New Roman" w:cs="Times New Roman"/>
          <w:sz w:val="28"/>
          <w:szCs w:val="28"/>
        </w:rPr>
        <w:t>і</w:t>
      </w:r>
      <w:r w:rsidR="002342CE">
        <w:rPr>
          <w:rFonts w:ascii="Times New Roman" w:hAnsi="Times New Roman" w:cs="Times New Roman"/>
          <w:sz w:val="28"/>
          <w:szCs w:val="28"/>
        </w:rPr>
        <w:t>нші</w:t>
      </w:r>
      <w:proofErr w:type="spellEnd"/>
      <w:r w:rsidR="0023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2CE">
        <w:rPr>
          <w:rFonts w:ascii="Times New Roman" w:hAnsi="Times New Roman" w:cs="Times New Roman"/>
          <w:sz w:val="28"/>
          <w:szCs w:val="28"/>
        </w:rPr>
        <w:t>регуляторні</w:t>
      </w:r>
      <w:proofErr w:type="spellEnd"/>
      <w:r w:rsidR="0023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2CE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="0023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D5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982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2CE">
        <w:rPr>
          <w:rFonts w:ascii="Times New Roman" w:hAnsi="Times New Roman" w:cs="Times New Roman"/>
          <w:sz w:val="28"/>
          <w:szCs w:val="28"/>
        </w:rPr>
        <w:t>схвалили</w:t>
      </w:r>
      <w:proofErr w:type="spellEnd"/>
      <w:r w:rsidR="002342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42CE" w:rsidRPr="002342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2342CE" w:rsidRPr="002342CE">
        <w:rPr>
          <w:rFonts w:ascii="Times New Roman" w:hAnsi="Times New Roman" w:cs="Times New Roman"/>
          <w:sz w:val="28"/>
          <w:szCs w:val="28"/>
        </w:rPr>
        <w:t xml:space="preserve"> </w:t>
      </w:r>
      <w:r w:rsidR="002454DB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="002342CE" w:rsidRPr="002342CE">
        <w:rPr>
          <w:rFonts w:ascii="Times New Roman" w:hAnsi="Times New Roman" w:cs="Times New Roman"/>
          <w:sz w:val="28"/>
          <w:szCs w:val="28"/>
        </w:rPr>
        <w:t>едаквіліну</w:t>
      </w:r>
      <w:proofErr w:type="spellEnd"/>
      <w:r w:rsidR="00982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D5B">
        <w:rPr>
          <w:rFonts w:ascii="Times New Roman" w:hAnsi="Times New Roman" w:cs="Times New Roman"/>
          <w:sz w:val="28"/>
          <w:szCs w:val="28"/>
        </w:rPr>
        <w:t>за умов</w:t>
      </w:r>
      <w:proofErr w:type="gramEnd"/>
      <w:r w:rsidR="00982D5B">
        <w:rPr>
          <w:rFonts w:ascii="Times New Roman" w:hAnsi="Times New Roman" w:cs="Times New Roman"/>
          <w:sz w:val="28"/>
          <w:szCs w:val="28"/>
        </w:rPr>
        <w:t xml:space="preserve">, схожими на </w:t>
      </w:r>
      <w:proofErr w:type="spellStart"/>
      <w:r w:rsidR="00982D5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="00982D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2D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82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D5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982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D5B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="002342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42CE">
        <w:rPr>
          <w:rFonts w:ascii="Times New Roman" w:hAnsi="Times New Roman" w:cs="Times New Roman"/>
          <w:sz w:val="28"/>
          <w:szCs w:val="28"/>
        </w:rPr>
        <w:t>Управління</w:t>
      </w:r>
      <w:r w:rsidR="00982D5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82D5B">
        <w:rPr>
          <w:rFonts w:ascii="Times New Roman" w:hAnsi="Times New Roman" w:cs="Times New Roman"/>
          <w:sz w:val="28"/>
          <w:szCs w:val="28"/>
        </w:rPr>
        <w:t xml:space="preserve"> </w:t>
      </w:r>
      <w:r w:rsidR="002342CE" w:rsidRPr="002342CE">
        <w:rPr>
          <w:rFonts w:ascii="Times New Roman" w:hAnsi="Times New Roman" w:cs="Times New Roman"/>
          <w:sz w:val="28"/>
          <w:szCs w:val="28"/>
        </w:rPr>
        <w:t xml:space="preserve">з контролю за </w:t>
      </w:r>
      <w:proofErr w:type="spellStart"/>
      <w:r w:rsidR="002342CE" w:rsidRPr="002342CE">
        <w:rPr>
          <w:rFonts w:ascii="Times New Roman" w:hAnsi="Times New Roman" w:cs="Times New Roman"/>
          <w:sz w:val="28"/>
          <w:szCs w:val="28"/>
        </w:rPr>
        <w:t>харчовими</w:t>
      </w:r>
      <w:proofErr w:type="spellEnd"/>
      <w:r w:rsidR="002342CE" w:rsidRPr="002342CE">
        <w:rPr>
          <w:rFonts w:ascii="Times New Roman" w:hAnsi="Times New Roman" w:cs="Times New Roman"/>
          <w:sz w:val="28"/>
          <w:szCs w:val="28"/>
        </w:rPr>
        <w:t xml:space="preserve"> продуктами та </w:t>
      </w:r>
      <w:proofErr w:type="spellStart"/>
      <w:r w:rsidR="002342CE" w:rsidRPr="002342CE">
        <w:rPr>
          <w:rFonts w:ascii="Times New Roman" w:hAnsi="Times New Roman" w:cs="Times New Roman"/>
          <w:sz w:val="28"/>
          <w:szCs w:val="28"/>
        </w:rPr>
        <w:t>лікарськими</w:t>
      </w:r>
      <w:proofErr w:type="spellEnd"/>
      <w:r w:rsidR="002342CE" w:rsidRPr="0023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2CE" w:rsidRPr="002342CE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="00CB5446">
        <w:rPr>
          <w:rFonts w:ascii="Times New Roman" w:hAnsi="Times New Roman" w:cs="Times New Roman"/>
          <w:sz w:val="28"/>
          <w:szCs w:val="28"/>
          <w:lang w:val="uk-UA"/>
        </w:rPr>
        <w:t xml:space="preserve"> США</w:t>
      </w:r>
      <w:r w:rsidRPr="00E877DE">
        <w:rPr>
          <w:rFonts w:ascii="Times New Roman" w:hAnsi="Times New Roman" w:cs="Times New Roman"/>
          <w:sz w:val="28"/>
          <w:szCs w:val="28"/>
        </w:rPr>
        <w:t>.</w:t>
      </w:r>
    </w:p>
    <w:p w14:paraId="7FE2A4BA" w14:textId="06333E56" w:rsidR="00E877DE" w:rsidRPr="00982D5B" w:rsidRDefault="00CC4E28" w:rsidP="00E877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982D5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82D5B">
        <w:rPr>
          <w:rFonts w:ascii="Times New Roman" w:hAnsi="Times New Roman" w:cs="Times New Roman"/>
          <w:sz w:val="28"/>
          <w:szCs w:val="28"/>
        </w:rPr>
        <w:t>червні</w:t>
      </w:r>
      <w:proofErr w:type="spellEnd"/>
      <w:r w:rsidR="00982D5B">
        <w:rPr>
          <w:rFonts w:ascii="Times New Roman" w:hAnsi="Times New Roman" w:cs="Times New Roman"/>
          <w:sz w:val="28"/>
          <w:szCs w:val="28"/>
        </w:rPr>
        <w:t xml:space="preserve"> 2013 року, </w:t>
      </w:r>
      <w:r>
        <w:rPr>
          <w:rFonts w:ascii="Times New Roman" w:hAnsi="Times New Roman" w:cs="Times New Roman"/>
          <w:sz w:val="28"/>
          <w:szCs w:val="28"/>
        </w:rPr>
        <w:t xml:space="preserve">ВООЗ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випустила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="0071271A">
        <w:rPr>
          <w:rFonts w:ascii="Times New Roman" w:hAnsi="Times New Roman" w:cs="Times New Roman"/>
          <w:sz w:val="28"/>
          <w:szCs w:val="28"/>
          <w:lang w:val="uk-UA"/>
        </w:rPr>
        <w:t>роміжні</w:t>
      </w:r>
      <w:proofErr w:type="spellEnd"/>
      <w:r w:rsidR="00982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D5B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E877DE" w:rsidRPr="00E87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22E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022E8">
        <w:rPr>
          <w:rFonts w:ascii="Times New Roman" w:hAnsi="Times New Roman" w:cs="Times New Roman"/>
          <w:sz w:val="28"/>
          <w:szCs w:val="28"/>
        </w:rPr>
        <w:t xml:space="preserve"> </w:t>
      </w:r>
      <w:r w:rsidR="00E877DE" w:rsidRPr="00E87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2E8" w:rsidRPr="001022E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proofErr w:type="gramEnd"/>
      <w:r w:rsidR="001022E8" w:rsidRPr="001022E8">
        <w:rPr>
          <w:rFonts w:ascii="Times New Roman" w:hAnsi="Times New Roman" w:cs="Times New Roman"/>
          <w:sz w:val="28"/>
          <w:szCs w:val="28"/>
        </w:rPr>
        <w:t xml:space="preserve"> </w:t>
      </w:r>
      <w:r w:rsidR="002454DB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="001022E8" w:rsidRPr="001022E8">
        <w:rPr>
          <w:rFonts w:ascii="Times New Roman" w:hAnsi="Times New Roman" w:cs="Times New Roman"/>
          <w:sz w:val="28"/>
          <w:szCs w:val="28"/>
        </w:rPr>
        <w:t>едаквіліну</w:t>
      </w:r>
      <w:proofErr w:type="spellEnd"/>
      <w:r w:rsidR="001022E8">
        <w:rPr>
          <w:rFonts w:ascii="Times New Roman" w:hAnsi="Times New Roman" w:cs="Times New Roman"/>
          <w:sz w:val="28"/>
          <w:szCs w:val="28"/>
        </w:rPr>
        <w:t xml:space="preserve"> (4);</w:t>
      </w:r>
      <w:r w:rsidR="00102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2D5B">
        <w:rPr>
          <w:rFonts w:ascii="Times New Roman" w:hAnsi="Times New Roman" w:cs="Times New Roman"/>
          <w:sz w:val="28"/>
          <w:szCs w:val="28"/>
        </w:rPr>
        <w:t>п</w:t>
      </w:r>
      <w:r w:rsidR="00E877DE" w:rsidRPr="00E877DE">
        <w:rPr>
          <w:rFonts w:ascii="Times New Roman" w:hAnsi="Times New Roman" w:cs="Times New Roman"/>
          <w:sz w:val="28"/>
          <w:szCs w:val="28"/>
        </w:rPr>
        <w:t>опередні</w:t>
      </w:r>
      <w:proofErr w:type="spellEnd"/>
      <w:r w:rsidR="00E877DE" w:rsidRPr="00E87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7DE" w:rsidRPr="00E877DE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E877DE" w:rsidRPr="00E87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7DE" w:rsidRPr="00E877DE">
        <w:rPr>
          <w:rFonts w:ascii="Times New Roman" w:hAnsi="Times New Roman" w:cs="Times New Roman"/>
          <w:sz w:val="28"/>
          <w:szCs w:val="28"/>
        </w:rPr>
        <w:t>американських</w:t>
      </w:r>
      <w:proofErr w:type="spellEnd"/>
      <w:r w:rsidR="00E877DE" w:rsidRPr="00E87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7DE" w:rsidRPr="00E877DE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="00E877DE" w:rsidRPr="00E877DE">
        <w:rPr>
          <w:rFonts w:ascii="Times New Roman" w:hAnsi="Times New Roman" w:cs="Times New Roman"/>
          <w:sz w:val="28"/>
          <w:szCs w:val="28"/>
        </w:rPr>
        <w:t xml:space="preserve"> з контролю та </w:t>
      </w:r>
      <w:proofErr w:type="spellStart"/>
      <w:r w:rsidR="00E877DE" w:rsidRPr="00E877DE">
        <w:rPr>
          <w:rFonts w:ascii="Times New Roman" w:hAnsi="Times New Roman" w:cs="Times New Roman"/>
          <w:sz w:val="28"/>
          <w:szCs w:val="28"/>
        </w:rPr>
        <w:t>п</w:t>
      </w:r>
      <w:r w:rsidR="001022E8">
        <w:rPr>
          <w:rFonts w:ascii="Times New Roman" w:hAnsi="Times New Roman" w:cs="Times New Roman"/>
          <w:sz w:val="28"/>
          <w:szCs w:val="28"/>
        </w:rPr>
        <w:t>рофілактики</w:t>
      </w:r>
      <w:proofErr w:type="spellEnd"/>
      <w:r w:rsidR="00102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2E8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="001022E8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="001022E8">
        <w:rPr>
          <w:rFonts w:ascii="Times New Roman" w:hAnsi="Times New Roman" w:cs="Times New Roman"/>
          <w:sz w:val="28"/>
          <w:szCs w:val="28"/>
        </w:rPr>
        <w:t>доступними</w:t>
      </w:r>
      <w:proofErr w:type="spellEnd"/>
      <w:r w:rsidR="00102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2E8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="00102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7DE" w:rsidRPr="00E877DE">
        <w:rPr>
          <w:rFonts w:ascii="Times New Roman" w:hAnsi="Times New Roman" w:cs="Times New Roman"/>
          <w:sz w:val="28"/>
          <w:szCs w:val="28"/>
        </w:rPr>
        <w:t xml:space="preserve">в тому ж </w:t>
      </w:r>
      <w:proofErr w:type="spellStart"/>
      <w:r w:rsidR="00E877DE" w:rsidRPr="00E877DE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E877DE" w:rsidRPr="00E877DE">
        <w:rPr>
          <w:rFonts w:ascii="Times New Roman" w:hAnsi="Times New Roman" w:cs="Times New Roman"/>
          <w:sz w:val="28"/>
          <w:szCs w:val="28"/>
        </w:rPr>
        <w:t xml:space="preserve"> (5).</w:t>
      </w:r>
    </w:p>
    <w:p w14:paraId="34D67439" w14:textId="45E5A8BD" w:rsidR="00E877DE" w:rsidRPr="00423568" w:rsidRDefault="00E877DE" w:rsidP="00E877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5C63">
        <w:rPr>
          <w:rFonts w:ascii="Times New Roman" w:hAnsi="Times New Roman" w:cs="Times New Roman"/>
          <w:sz w:val="28"/>
          <w:szCs w:val="28"/>
          <w:lang w:val="uk-UA"/>
        </w:rPr>
        <w:t>• У 2016 році</w:t>
      </w:r>
      <w:r w:rsidR="00982D5B" w:rsidRPr="00A95C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5C63">
        <w:rPr>
          <w:rFonts w:ascii="Times New Roman" w:hAnsi="Times New Roman" w:cs="Times New Roman"/>
          <w:sz w:val="28"/>
          <w:szCs w:val="28"/>
          <w:lang w:val="uk-UA"/>
        </w:rPr>
        <w:t xml:space="preserve"> Група з розробки рекомендацій ВООЗ (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 w:rsidRPr="00E877DE">
        <w:rPr>
          <w:rFonts w:ascii="Times New Roman" w:hAnsi="Times New Roman" w:cs="Times New Roman"/>
          <w:sz w:val="28"/>
          <w:szCs w:val="28"/>
        </w:rPr>
        <w:t>GDG</w:t>
      </w:r>
      <w:r w:rsidRPr="00A95C63">
        <w:rPr>
          <w:rFonts w:ascii="Times New Roman" w:hAnsi="Times New Roman" w:cs="Times New Roman"/>
          <w:sz w:val="28"/>
          <w:szCs w:val="28"/>
          <w:lang w:val="uk-UA"/>
        </w:rPr>
        <w:t>) пер</w:t>
      </w:r>
      <w:r w:rsidR="006F320B" w:rsidRPr="00A95C63">
        <w:rPr>
          <w:rFonts w:ascii="Times New Roman" w:hAnsi="Times New Roman" w:cs="Times New Roman"/>
          <w:sz w:val="28"/>
          <w:szCs w:val="28"/>
          <w:lang w:val="uk-UA"/>
        </w:rPr>
        <w:t xml:space="preserve">еглянула нові дані 537 </w:t>
      </w:r>
      <w:r w:rsidRPr="00A95C63">
        <w:rPr>
          <w:rFonts w:ascii="Times New Roman" w:hAnsi="Times New Roman" w:cs="Times New Roman"/>
          <w:sz w:val="28"/>
          <w:szCs w:val="28"/>
          <w:lang w:val="uk-UA"/>
        </w:rPr>
        <w:t>па</w:t>
      </w:r>
      <w:r w:rsidR="006F320B" w:rsidRPr="00A95C63">
        <w:rPr>
          <w:rFonts w:ascii="Times New Roman" w:hAnsi="Times New Roman" w:cs="Times New Roman"/>
          <w:sz w:val="28"/>
          <w:szCs w:val="28"/>
          <w:lang w:val="uk-UA"/>
        </w:rPr>
        <w:t>цієнт</w:t>
      </w:r>
      <w:r w:rsidR="006F320B">
        <w:rPr>
          <w:rFonts w:ascii="Times New Roman" w:hAnsi="Times New Roman" w:cs="Times New Roman"/>
          <w:sz w:val="28"/>
          <w:szCs w:val="28"/>
          <w:lang w:val="uk-UA"/>
        </w:rPr>
        <w:t>ів з МР ТБ</w:t>
      </w:r>
      <w:r w:rsidR="006F320B" w:rsidRPr="00A95C63">
        <w:rPr>
          <w:rFonts w:ascii="Times New Roman" w:hAnsi="Times New Roman" w:cs="Times New Roman"/>
          <w:sz w:val="28"/>
          <w:szCs w:val="28"/>
          <w:lang w:val="uk-UA"/>
        </w:rPr>
        <w:t xml:space="preserve">, які лікувалися </w:t>
      </w:r>
      <w:proofErr w:type="spellStart"/>
      <w:r w:rsidR="006F320B" w:rsidRPr="00A95C63">
        <w:rPr>
          <w:rFonts w:ascii="Times New Roman" w:hAnsi="Times New Roman" w:cs="Times New Roman"/>
          <w:sz w:val="28"/>
          <w:szCs w:val="28"/>
          <w:lang w:val="uk-UA"/>
        </w:rPr>
        <w:t>бедаквіліном</w:t>
      </w:r>
      <w:proofErr w:type="spellEnd"/>
      <w:r w:rsidR="006F320B" w:rsidRPr="00A95C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20B">
        <w:rPr>
          <w:rFonts w:ascii="Times New Roman" w:hAnsi="Times New Roman" w:cs="Times New Roman"/>
          <w:sz w:val="28"/>
          <w:szCs w:val="28"/>
          <w:lang w:val="uk-UA"/>
        </w:rPr>
        <w:t xml:space="preserve">в рамках </w:t>
      </w:r>
      <w:r w:rsidR="006F320B" w:rsidRPr="006F320B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="006F320B" w:rsidRPr="006F320B">
        <w:rPr>
          <w:rFonts w:ascii="Times New Roman" w:hAnsi="Times New Roman" w:cs="Times New Roman"/>
          <w:sz w:val="28"/>
          <w:szCs w:val="28"/>
          <w:lang w:val="uk-UA"/>
        </w:rPr>
        <w:t>експерементального</w:t>
      </w:r>
      <w:proofErr w:type="spellEnd"/>
      <w:r w:rsidR="006F320B" w:rsidRPr="006F320B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</w:t>
      </w:r>
      <w:r w:rsidRPr="00A95C63">
        <w:rPr>
          <w:rFonts w:ascii="Times New Roman" w:hAnsi="Times New Roman" w:cs="Times New Roman"/>
          <w:sz w:val="28"/>
          <w:szCs w:val="28"/>
          <w:lang w:val="uk-UA"/>
        </w:rPr>
        <w:t>у Вір</w:t>
      </w:r>
      <w:r w:rsidR="006F320B" w:rsidRPr="00A95C63">
        <w:rPr>
          <w:rFonts w:ascii="Times New Roman" w:hAnsi="Times New Roman" w:cs="Times New Roman"/>
          <w:sz w:val="28"/>
          <w:szCs w:val="28"/>
          <w:lang w:val="uk-UA"/>
        </w:rPr>
        <w:t>менії, Франції, Грузії та</w:t>
      </w:r>
      <w:r w:rsidR="006F3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20B" w:rsidRPr="00A95C63">
        <w:rPr>
          <w:rFonts w:ascii="Times New Roman" w:hAnsi="Times New Roman" w:cs="Times New Roman"/>
          <w:sz w:val="28"/>
          <w:szCs w:val="28"/>
          <w:lang w:val="uk-UA"/>
        </w:rPr>
        <w:t>Південн</w:t>
      </w:r>
      <w:r w:rsidR="006F320B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6F320B" w:rsidRPr="00A95C63">
        <w:rPr>
          <w:rFonts w:ascii="Times New Roman" w:hAnsi="Times New Roman" w:cs="Times New Roman"/>
          <w:sz w:val="28"/>
          <w:szCs w:val="28"/>
          <w:lang w:val="uk-UA"/>
        </w:rPr>
        <w:t xml:space="preserve"> Афри</w:t>
      </w:r>
      <w:r w:rsidR="006F320B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A95C63">
        <w:rPr>
          <w:rFonts w:ascii="Times New Roman" w:hAnsi="Times New Roman" w:cs="Times New Roman"/>
          <w:sz w:val="28"/>
          <w:szCs w:val="28"/>
          <w:lang w:val="uk-UA"/>
        </w:rPr>
        <w:t>, а також дані дослідження</w:t>
      </w:r>
      <w:r w:rsidR="006F320B" w:rsidRPr="00A95C63">
        <w:rPr>
          <w:rFonts w:ascii="Times New Roman" w:hAnsi="Times New Roman" w:cs="Times New Roman"/>
          <w:sz w:val="28"/>
          <w:szCs w:val="28"/>
          <w:lang w:val="uk-UA"/>
        </w:rPr>
        <w:t>, проведеного виробником ліків,</w:t>
      </w:r>
      <w:r w:rsidR="006F320B">
        <w:rPr>
          <w:rFonts w:ascii="Times New Roman" w:hAnsi="Times New Roman" w:cs="Times New Roman"/>
          <w:sz w:val="28"/>
          <w:szCs w:val="28"/>
          <w:lang w:val="uk-UA"/>
        </w:rPr>
        <w:t xml:space="preserve"> фармацевтичною компанією </w:t>
      </w:r>
      <w:r w:rsidRPr="00E877DE">
        <w:rPr>
          <w:rFonts w:ascii="Times New Roman" w:hAnsi="Times New Roman" w:cs="Times New Roman"/>
          <w:sz w:val="28"/>
          <w:szCs w:val="28"/>
          <w:lang w:val="en-US"/>
        </w:rPr>
        <w:t>Janssen</w:t>
      </w:r>
      <w:r w:rsidRPr="006F3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7DE">
        <w:rPr>
          <w:rFonts w:ascii="Times New Roman" w:hAnsi="Times New Roman" w:cs="Times New Roman"/>
          <w:sz w:val="28"/>
          <w:szCs w:val="28"/>
          <w:lang w:val="en-US"/>
        </w:rPr>
        <w:t>Pharmaceuticals</w:t>
      </w:r>
      <w:r w:rsidRPr="006F320B">
        <w:rPr>
          <w:rFonts w:ascii="Times New Roman" w:hAnsi="Times New Roman" w:cs="Times New Roman"/>
          <w:sz w:val="28"/>
          <w:szCs w:val="28"/>
          <w:lang w:val="uk-UA"/>
        </w:rPr>
        <w:t xml:space="preserve">, у 11 </w:t>
      </w:r>
      <w:r w:rsidRPr="00B6681D">
        <w:rPr>
          <w:rFonts w:ascii="Times New Roman" w:hAnsi="Times New Roman" w:cs="Times New Roman"/>
          <w:sz w:val="28"/>
          <w:szCs w:val="28"/>
          <w:lang w:val="uk-UA"/>
        </w:rPr>
        <w:t xml:space="preserve">країнах (6) </w:t>
      </w:r>
      <w:r w:rsidR="00423568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I</w:t>
      </w:r>
    </w:p>
    <w:p w14:paraId="223583E7" w14:textId="3277CA83" w:rsidR="00E877DE" w:rsidRDefault="00E877DE" w:rsidP="003A489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 w:rsidRPr="006F320B">
        <w:rPr>
          <w:rFonts w:ascii="Times New Roman" w:hAnsi="Times New Roman" w:cs="Times New Roman"/>
          <w:sz w:val="28"/>
          <w:szCs w:val="28"/>
          <w:lang w:val="uk-UA"/>
        </w:rPr>
        <w:t xml:space="preserve">• На основі оцінки доказів </w:t>
      </w:r>
      <w:r w:rsidRPr="00E877DE">
        <w:rPr>
          <w:rFonts w:ascii="Times New Roman" w:hAnsi="Times New Roman" w:cs="Times New Roman"/>
          <w:sz w:val="28"/>
          <w:szCs w:val="28"/>
        </w:rPr>
        <w:t>GRADE</w:t>
      </w:r>
      <w:r w:rsidRPr="006F320B">
        <w:rPr>
          <w:rFonts w:ascii="Times New Roman" w:hAnsi="Times New Roman" w:cs="Times New Roman"/>
          <w:sz w:val="28"/>
          <w:szCs w:val="28"/>
          <w:lang w:val="uk-UA"/>
        </w:rPr>
        <w:t xml:space="preserve"> 2016, </w:t>
      </w:r>
      <w:r w:rsidRPr="00E877DE">
        <w:rPr>
          <w:rFonts w:ascii="Times New Roman" w:hAnsi="Times New Roman" w:cs="Times New Roman"/>
          <w:sz w:val="28"/>
          <w:szCs w:val="28"/>
        </w:rPr>
        <w:t>GDG</w:t>
      </w:r>
      <w:r w:rsidR="00982D5B">
        <w:rPr>
          <w:rFonts w:ascii="Times New Roman" w:hAnsi="Times New Roman" w:cs="Times New Roman"/>
          <w:sz w:val="28"/>
          <w:szCs w:val="28"/>
          <w:lang w:val="uk-UA"/>
        </w:rPr>
        <w:t xml:space="preserve"> не запропонувала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 xml:space="preserve"> внесення </w:t>
      </w:r>
      <w:r w:rsidRPr="006F3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 xml:space="preserve">ніяких змін </w:t>
      </w:r>
      <w:r w:rsidR="00982D5B">
        <w:rPr>
          <w:rFonts w:ascii="Times New Roman" w:hAnsi="Times New Roman" w:cs="Times New Roman"/>
          <w:sz w:val="28"/>
          <w:szCs w:val="28"/>
          <w:lang w:val="uk-UA"/>
        </w:rPr>
        <w:t xml:space="preserve">до проміжних 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 w:rsidR="00CC4E28" w:rsidRPr="00CC4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20B">
        <w:rPr>
          <w:rFonts w:ascii="Times New Roman" w:hAnsi="Times New Roman" w:cs="Times New Roman"/>
          <w:sz w:val="28"/>
          <w:szCs w:val="28"/>
          <w:lang w:val="uk-UA"/>
        </w:rPr>
        <w:t xml:space="preserve">ВООЗ щодо використання </w:t>
      </w:r>
      <w:r w:rsidR="00A95C63">
        <w:rPr>
          <w:rFonts w:ascii="Times New Roman" w:hAnsi="Times New Roman" w:cs="Times New Roman"/>
          <w:sz w:val="28"/>
          <w:szCs w:val="28"/>
          <w:lang w:val="uk-UA"/>
        </w:rPr>
        <w:t>бе</w:t>
      </w:r>
      <w:r w:rsidR="00982D5B">
        <w:rPr>
          <w:rFonts w:ascii="Times New Roman" w:hAnsi="Times New Roman" w:cs="Times New Roman"/>
          <w:sz w:val="28"/>
          <w:szCs w:val="28"/>
          <w:lang w:val="uk-UA"/>
        </w:rPr>
        <w:t xml:space="preserve">даквіліну </w:t>
      </w:r>
      <w:r w:rsidR="00CC4E28" w:rsidRPr="00CC4E28">
        <w:rPr>
          <w:rFonts w:ascii="Times New Roman" w:hAnsi="Times New Roman" w:cs="Times New Roman"/>
          <w:sz w:val="28"/>
          <w:szCs w:val="28"/>
          <w:lang w:val="uk-UA"/>
        </w:rPr>
        <w:t>(тобто загальн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4E28" w:rsidRPr="00CC4E28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C4E28" w:rsidRPr="00CC4E28">
        <w:rPr>
          <w:rFonts w:ascii="Times New Roman" w:hAnsi="Times New Roman" w:cs="Times New Roman"/>
          <w:sz w:val="28"/>
          <w:szCs w:val="28"/>
          <w:lang w:val="uk-UA"/>
        </w:rPr>
        <w:t xml:space="preserve"> залишил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C4E28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E28" w:rsidRPr="00CC4E28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>ними</w:t>
      </w:r>
      <w:r w:rsidR="00423568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II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>). Спеціальна умова щодо</w:t>
      </w:r>
      <w:r w:rsidRPr="00CC4E28">
        <w:rPr>
          <w:rFonts w:ascii="Times New Roman" w:hAnsi="Times New Roman" w:cs="Times New Roman"/>
          <w:sz w:val="28"/>
          <w:szCs w:val="28"/>
          <w:lang w:val="uk-UA"/>
        </w:rPr>
        <w:t xml:space="preserve"> інформованої згоди була узгоджена з тією, яка була 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CC4E28">
        <w:rPr>
          <w:rFonts w:ascii="Times New Roman" w:hAnsi="Times New Roman" w:cs="Times New Roman"/>
          <w:sz w:val="28"/>
          <w:szCs w:val="28"/>
          <w:lang w:val="uk-UA"/>
        </w:rPr>
        <w:t>зроблена для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4E28">
        <w:rPr>
          <w:rFonts w:ascii="Times New Roman" w:hAnsi="Times New Roman" w:cs="Times New Roman"/>
          <w:sz w:val="28"/>
          <w:szCs w:val="28"/>
          <w:lang w:val="uk-UA"/>
        </w:rPr>
        <w:t>деламанід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CC4E28">
        <w:rPr>
          <w:rFonts w:ascii="Times New Roman" w:hAnsi="Times New Roman" w:cs="Times New Roman"/>
          <w:sz w:val="28"/>
          <w:szCs w:val="28"/>
          <w:lang w:val="uk-UA"/>
        </w:rPr>
        <w:t xml:space="preserve"> у 2014 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 xml:space="preserve">(7) </w:t>
      </w:r>
      <w:r w:rsidRPr="00CC4E28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C4E28">
        <w:rPr>
          <w:rFonts w:ascii="Times New Roman" w:hAnsi="Times New Roman" w:cs="Times New Roman"/>
          <w:sz w:val="28"/>
          <w:szCs w:val="28"/>
          <w:lang w:val="uk-UA"/>
        </w:rPr>
        <w:t xml:space="preserve"> а інші чотири умови, що регулюють використання обох лікарських засобів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 xml:space="preserve"> залишилися незмінними, а саме критерії</w:t>
      </w:r>
      <w:r w:rsidRPr="00CC4E28">
        <w:rPr>
          <w:rFonts w:ascii="Times New Roman" w:hAnsi="Times New Roman" w:cs="Times New Roman"/>
          <w:sz w:val="28"/>
          <w:szCs w:val="28"/>
          <w:lang w:val="uk-UA"/>
        </w:rPr>
        <w:t xml:space="preserve"> відбору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 xml:space="preserve"> пацієнтів; дотримання рекомендацій при призначенні схем лікування</w:t>
      </w:r>
      <w:r w:rsidRPr="00CC4E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E28">
        <w:rPr>
          <w:rFonts w:ascii="Times New Roman" w:hAnsi="Times New Roman" w:cs="Times New Roman"/>
          <w:sz w:val="28"/>
          <w:szCs w:val="28"/>
          <w:lang w:val="uk-UA"/>
        </w:rPr>
        <w:t xml:space="preserve">МР ТБ; </w:t>
      </w:r>
      <w:r w:rsidR="00E71478">
        <w:rPr>
          <w:rFonts w:ascii="Times New Roman" w:hAnsi="Times New Roman" w:cs="Times New Roman"/>
          <w:sz w:val="28"/>
          <w:szCs w:val="28"/>
          <w:lang w:val="uk-UA"/>
        </w:rPr>
        <w:t xml:space="preserve">постійний </w:t>
      </w:r>
      <w:r w:rsidR="003A4894" w:rsidRPr="003A4894">
        <w:rPr>
          <w:rFonts w:ascii="Times New Roman" w:hAnsi="Times New Roman" w:cs="Times New Roman"/>
          <w:sz w:val="28"/>
          <w:szCs w:val="28"/>
          <w:lang w:val="uk-UA"/>
        </w:rPr>
        <w:t>моніторинг пацієнтів та активний м</w:t>
      </w:r>
      <w:r w:rsidR="003A4894">
        <w:rPr>
          <w:rFonts w:ascii="Times New Roman" w:hAnsi="Times New Roman" w:cs="Times New Roman"/>
          <w:sz w:val="28"/>
          <w:szCs w:val="28"/>
          <w:lang w:val="uk-UA"/>
        </w:rPr>
        <w:t>оніторинг безпеки ліків та дотримання їх вживання.</w:t>
      </w:r>
    </w:p>
    <w:p w14:paraId="7A11FC8C" w14:textId="039978DF" w:rsidR="00656EF3" w:rsidRPr="00656EF3" w:rsidRDefault="0060501A" w:rsidP="00656EF3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I</w:t>
      </w:r>
      <w:r w:rsidRPr="00656EF3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 xml:space="preserve"> </w:t>
      </w:r>
      <w:r w:rsidR="00656EF3" w:rsidRPr="00656EF3">
        <w:rPr>
          <w:rFonts w:ascii="Times New Roman" w:hAnsi="Times New Roman" w:cs="Times New Roman"/>
          <w:sz w:val="20"/>
          <w:szCs w:val="20"/>
          <w:lang w:val="uk-UA"/>
        </w:rPr>
        <w:t>Див. Звіт про зустріч на http://apps.who.int/iris/bitstream/10665/254712/1/WHO-HTM-TB-2017.01-eng.pdf.</w:t>
      </w:r>
    </w:p>
    <w:p w14:paraId="1F127994" w14:textId="475F08DF" w:rsidR="00656EF3" w:rsidRPr="00656EF3" w:rsidRDefault="0060501A" w:rsidP="00656EF3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</w:t>
      </w:r>
      <w:r w:rsidR="00656EF3" w:rsidRPr="00656EF3">
        <w:rPr>
          <w:rFonts w:ascii="Times New Roman" w:hAnsi="Times New Roman" w:cs="Times New Roman"/>
          <w:sz w:val="20"/>
          <w:szCs w:val="20"/>
          <w:lang w:val="uk-UA"/>
        </w:rPr>
        <w:t xml:space="preserve"> "Умовний" означає, що</w:t>
      </w:r>
      <w:r w:rsidR="00656EF3">
        <w:rPr>
          <w:rFonts w:ascii="Times New Roman" w:hAnsi="Times New Roman" w:cs="Times New Roman"/>
          <w:sz w:val="20"/>
          <w:szCs w:val="20"/>
          <w:lang w:val="uk-UA"/>
        </w:rPr>
        <w:t xml:space="preserve"> рекомендація може бути застосована в якості </w:t>
      </w:r>
      <w:proofErr w:type="gramStart"/>
      <w:r w:rsidR="00656EF3">
        <w:rPr>
          <w:rFonts w:ascii="Times New Roman" w:hAnsi="Times New Roman" w:cs="Times New Roman"/>
          <w:sz w:val="20"/>
          <w:szCs w:val="20"/>
          <w:lang w:val="uk-UA"/>
        </w:rPr>
        <w:t>загальної  політики</w:t>
      </w:r>
      <w:proofErr w:type="gramEnd"/>
      <w:r w:rsidR="00656EF3" w:rsidRPr="00656EF3">
        <w:rPr>
          <w:rFonts w:ascii="Times New Roman" w:hAnsi="Times New Roman" w:cs="Times New Roman"/>
          <w:sz w:val="20"/>
          <w:szCs w:val="20"/>
          <w:lang w:val="uk-UA"/>
        </w:rPr>
        <w:t xml:space="preserve"> в </w:t>
      </w:r>
      <w:r w:rsidR="00956674">
        <w:rPr>
          <w:rFonts w:ascii="Times New Roman" w:hAnsi="Times New Roman" w:cs="Times New Roman"/>
          <w:sz w:val="20"/>
          <w:szCs w:val="20"/>
          <w:lang w:val="uk-UA"/>
        </w:rPr>
        <w:t>більшості випадків (12). Умовні</w:t>
      </w:r>
      <w:r w:rsidR="00656EF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56674">
        <w:rPr>
          <w:rFonts w:ascii="Times New Roman" w:hAnsi="Times New Roman" w:cs="Times New Roman"/>
          <w:sz w:val="20"/>
          <w:szCs w:val="20"/>
          <w:lang w:val="uk-UA"/>
        </w:rPr>
        <w:t>рекомендації зазвичай включають</w:t>
      </w:r>
      <w:r w:rsidR="00656EF3" w:rsidRPr="00656EF3">
        <w:rPr>
          <w:rFonts w:ascii="Times New Roman" w:hAnsi="Times New Roman" w:cs="Times New Roman"/>
          <w:sz w:val="20"/>
          <w:szCs w:val="20"/>
          <w:lang w:val="uk-UA"/>
        </w:rPr>
        <w:t xml:space="preserve"> опис умов, за яких кінцевий</w:t>
      </w:r>
      <w:r w:rsidR="00956674">
        <w:rPr>
          <w:rFonts w:ascii="Times New Roman" w:hAnsi="Times New Roman" w:cs="Times New Roman"/>
          <w:sz w:val="20"/>
          <w:szCs w:val="20"/>
          <w:lang w:val="uk-UA"/>
        </w:rPr>
        <w:t xml:space="preserve"> користувач повинен застосувати</w:t>
      </w:r>
      <w:r w:rsidR="00656EF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56674">
        <w:rPr>
          <w:rFonts w:ascii="Times New Roman" w:hAnsi="Times New Roman" w:cs="Times New Roman"/>
          <w:sz w:val="20"/>
          <w:szCs w:val="20"/>
          <w:lang w:val="uk-UA"/>
        </w:rPr>
        <w:t>(або не застосувати</w:t>
      </w:r>
      <w:r w:rsidR="00656EF3" w:rsidRPr="00656EF3">
        <w:rPr>
          <w:rFonts w:ascii="Times New Roman" w:hAnsi="Times New Roman" w:cs="Times New Roman"/>
          <w:sz w:val="20"/>
          <w:szCs w:val="20"/>
          <w:lang w:val="uk-UA"/>
        </w:rPr>
        <w:t>) рекоменд</w:t>
      </w:r>
      <w:r w:rsidR="00656EF3">
        <w:rPr>
          <w:rFonts w:ascii="Times New Roman" w:hAnsi="Times New Roman" w:cs="Times New Roman"/>
          <w:sz w:val="20"/>
          <w:szCs w:val="20"/>
          <w:lang w:val="uk-UA"/>
        </w:rPr>
        <w:t>ацію. Попередні рекомендації</w:t>
      </w:r>
      <w:r w:rsidR="00656EF3" w:rsidRPr="00656EF3">
        <w:rPr>
          <w:rFonts w:ascii="Times New Roman" w:hAnsi="Times New Roman" w:cs="Times New Roman"/>
          <w:sz w:val="20"/>
          <w:szCs w:val="20"/>
          <w:lang w:val="uk-UA"/>
        </w:rPr>
        <w:t xml:space="preserve"> ВООЗ</w:t>
      </w:r>
      <w:r w:rsidR="00656EF3">
        <w:rPr>
          <w:rFonts w:ascii="Times New Roman" w:hAnsi="Times New Roman" w:cs="Times New Roman"/>
          <w:sz w:val="20"/>
          <w:szCs w:val="20"/>
          <w:lang w:val="uk-UA"/>
        </w:rPr>
        <w:t xml:space="preserve"> щодо </w:t>
      </w:r>
      <w:proofErr w:type="spellStart"/>
      <w:r w:rsidR="00656EF3">
        <w:rPr>
          <w:rFonts w:ascii="Times New Roman" w:hAnsi="Times New Roman" w:cs="Times New Roman"/>
          <w:sz w:val="20"/>
          <w:szCs w:val="20"/>
          <w:lang w:val="uk-UA"/>
        </w:rPr>
        <w:t>бідаквіліну</w:t>
      </w:r>
      <w:proofErr w:type="spellEnd"/>
      <w:r w:rsidR="00656EF3">
        <w:rPr>
          <w:rFonts w:ascii="Times New Roman" w:hAnsi="Times New Roman" w:cs="Times New Roman"/>
          <w:sz w:val="20"/>
          <w:szCs w:val="20"/>
          <w:lang w:val="uk-UA"/>
        </w:rPr>
        <w:t xml:space="preserve"> та </w:t>
      </w:r>
      <w:proofErr w:type="spellStart"/>
      <w:r w:rsidR="00656EF3">
        <w:rPr>
          <w:rFonts w:ascii="Times New Roman" w:hAnsi="Times New Roman" w:cs="Times New Roman"/>
          <w:sz w:val="20"/>
          <w:szCs w:val="20"/>
          <w:lang w:val="uk-UA"/>
        </w:rPr>
        <w:t>деламаніду</w:t>
      </w:r>
      <w:proofErr w:type="spellEnd"/>
      <w:r w:rsidR="007175C6">
        <w:rPr>
          <w:rFonts w:ascii="Times New Roman" w:hAnsi="Times New Roman" w:cs="Times New Roman"/>
          <w:sz w:val="20"/>
          <w:szCs w:val="20"/>
          <w:lang w:val="uk-UA"/>
        </w:rPr>
        <w:t>, означають</w:t>
      </w:r>
      <w:r w:rsidR="00656EF3" w:rsidRPr="00656EF3">
        <w:rPr>
          <w:rFonts w:ascii="Times New Roman" w:hAnsi="Times New Roman" w:cs="Times New Roman"/>
          <w:sz w:val="20"/>
          <w:szCs w:val="20"/>
          <w:lang w:val="uk-UA"/>
        </w:rPr>
        <w:t xml:space="preserve">, що </w:t>
      </w:r>
      <w:r w:rsidR="007175C6">
        <w:rPr>
          <w:rFonts w:ascii="Times New Roman" w:hAnsi="Times New Roman" w:cs="Times New Roman"/>
          <w:sz w:val="20"/>
          <w:szCs w:val="20"/>
          <w:lang w:val="uk-UA"/>
        </w:rPr>
        <w:t xml:space="preserve">ці ліки повинні бути включені в національні </w:t>
      </w:r>
      <w:r w:rsidR="00656EF3" w:rsidRPr="00656EF3">
        <w:rPr>
          <w:rFonts w:ascii="Times New Roman" w:hAnsi="Times New Roman" w:cs="Times New Roman"/>
          <w:sz w:val="20"/>
          <w:szCs w:val="20"/>
          <w:lang w:val="uk-UA"/>
        </w:rPr>
        <w:t>про</w:t>
      </w:r>
      <w:r w:rsidR="007175C6">
        <w:rPr>
          <w:rFonts w:ascii="Times New Roman" w:hAnsi="Times New Roman" w:cs="Times New Roman"/>
          <w:sz w:val="20"/>
          <w:szCs w:val="20"/>
          <w:lang w:val="uk-UA"/>
        </w:rPr>
        <w:t>грамами з туберкульозу в</w:t>
      </w:r>
      <w:r w:rsidR="00023C70">
        <w:rPr>
          <w:rFonts w:ascii="Times New Roman" w:hAnsi="Times New Roman" w:cs="Times New Roman"/>
          <w:sz w:val="20"/>
          <w:szCs w:val="20"/>
          <w:lang w:val="uk-UA"/>
        </w:rPr>
        <w:t>ідповідно до умов,  викладених у</w:t>
      </w:r>
      <w:r w:rsidR="007175C6">
        <w:rPr>
          <w:rFonts w:ascii="Times New Roman" w:hAnsi="Times New Roman" w:cs="Times New Roman"/>
          <w:sz w:val="20"/>
          <w:szCs w:val="20"/>
          <w:lang w:val="uk-UA"/>
        </w:rPr>
        <w:t xml:space="preserve"> попередніх рекомендаціях</w:t>
      </w:r>
    </w:p>
    <w:p w14:paraId="19DC644F" w14:textId="77777777" w:rsidR="00B6681D" w:rsidRPr="00B6681D" w:rsidRDefault="00B6681D" w:rsidP="00B6681D">
      <w:pPr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proofErr w:type="spellStart"/>
      <w:r w:rsidRPr="00B6681D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Деламанід</w:t>
      </w:r>
      <w:proofErr w:type="spellEnd"/>
    </w:p>
    <w:p w14:paraId="3700E49F" w14:textId="65F3FDB4" w:rsidR="00B6681D" w:rsidRPr="00B6681D" w:rsidRDefault="00B6681D" w:rsidP="00B668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У 2014 р</w:t>
      </w:r>
      <w:r w:rsidR="00492D86">
        <w:rPr>
          <w:rFonts w:ascii="Times New Roman" w:hAnsi="Times New Roman" w:cs="Times New Roman"/>
          <w:sz w:val="28"/>
          <w:szCs w:val="28"/>
          <w:lang w:val="uk-UA"/>
        </w:rPr>
        <w:t>оці EMA затвердила</w:t>
      </w:r>
      <w:r w:rsidRPr="00B6681D">
        <w:rPr>
          <w:rFonts w:ascii="Times New Roman" w:hAnsi="Times New Roman" w:cs="Times New Roman"/>
          <w:sz w:val="28"/>
          <w:szCs w:val="28"/>
          <w:lang w:val="uk-UA"/>
        </w:rPr>
        <w:t xml:space="preserve"> умовне схвалення </w:t>
      </w:r>
      <w:proofErr w:type="spellStart"/>
      <w:r w:rsidRPr="00B6681D">
        <w:rPr>
          <w:rFonts w:ascii="Times New Roman" w:hAnsi="Times New Roman" w:cs="Times New Roman"/>
          <w:sz w:val="28"/>
          <w:szCs w:val="28"/>
          <w:lang w:val="uk-UA"/>
        </w:rPr>
        <w:t>деламанід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нового антибіот</w:t>
      </w:r>
      <w:r w:rsidR="009F7819">
        <w:rPr>
          <w:rFonts w:ascii="Times New Roman" w:hAnsi="Times New Roman" w:cs="Times New Roman"/>
          <w:sz w:val="28"/>
          <w:szCs w:val="28"/>
          <w:lang w:val="uk-UA"/>
        </w:rPr>
        <w:t>ика, який призначається у схемі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комбінованої терапії для лікування дорослих з МРТБ, у випадку, якщо інші варіанти є недоступними</w:t>
      </w:r>
      <w:r w:rsidRPr="00B6681D">
        <w:rPr>
          <w:rFonts w:ascii="Times New Roman" w:hAnsi="Times New Roman" w:cs="Times New Roman"/>
          <w:sz w:val="28"/>
          <w:szCs w:val="28"/>
          <w:lang w:val="uk-UA"/>
        </w:rPr>
        <w:t xml:space="preserve"> (8).</w:t>
      </w:r>
    </w:p>
    <w:p w14:paraId="384F6AE6" w14:textId="2B2ACA95" w:rsidR="00B6681D" w:rsidRDefault="00492D86" w:rsidP="00B668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У </w:t>
      </w:r>
      <w:r w:rsidRPr="00B6681D">
        <w:rPr>
          <w:rFonts w:ascii="Times New Roman" w:hAnsi="Times New Roman" w:cs="Times New Roman"/>
          <w:sz w:val="28"/>
          <w:szCs w:val="28"/>
          <w:lang w:val="uk-UA"/>
        </w:rPr>
        <w:t>2014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ВООЗ</w:t>
      </w:r>
      <w:r w:rsidR="00B6681D" w:rsidRPr="00B66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71A">
        <w:rPr>
          <w:rFonts w:ascii="Times New Roman" w:hAnsi="Times New Roman" w:cs="Times New Roman"/>
          <w:sz w:val="28"/>
          <w:szCs w:val="28"/>
          <w:lang w:val="uk-UA"/>
        </w:rPr>
        <w:t>було опубліковано пром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1271A">
        <w:rPr>
          <w:rFonts w:ascii="Times New Roman" w:hAnsi="Times New Roman" w:cs="Times New Roman"/>
          <w:sz w:val="28"/>
          <w:szCs w:val="28"/>
          <w:lang w:val="uk-UA"/>
        </w:rPr>
        <w:t>жні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81D" w:rsidRPr="00B6681D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r w:rsidR="009F7819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деламаніду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Pr="00B6681D">
        <w:rPr>
          <w:rFonts w:ascii="Times New Roman" w:hAnsi="Times New Roman" w:cs="Times New Roman"/>
          <w:sz w:val="28"/>
          <w:szCs w:val="28"/>
          <w:lang w:val="uk-UA"/>
        </w:rPr>
        <w:t xml:space="preserve"> 2016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році, з огляду на нові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фармакокінетичні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фармакодинамічні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дані</w:t>
      </w:r>
      <w:r w:rsidR="00B6681D" w:rsidRPr="00B6681D">
        <w:rPr>
          <w:rFonts w:ascii="Times New Roman" w:hAnsi="Times New Roman" w:cs="Times New Roman"/>
          <w:sz w:val="28"/>
          <w:szCs w:val="28"/>
          <w:lang w:val="uk-UA"/>
        </w:rPr>
        <w:t xml:space="preserve"> (PK / PD)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вони були оновлені і включали рекомендації стосовно застосування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деламаніду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дітьми </w:t>
      </w:r>
      <w:r w:rsidR="00B6681D" w:rsidRPr="00B6681D">
        <w:rPr>
          <w:rFonts w:ascii="Times New Roman" w:hAnsi="Times New Roman" w:cs="Times New Roman"/>
          <w:sz w:val="28"/>
          <w:szCs w:val="28"/>
          <w:lang w:val="uk-UA"/>
        </w:rPr>
        <w:t>6-17 років (7), (9).</w:t>
      </w:r>
    </w:p>
    <w:p w14:paraId="59C4C9CD" w14:textId="77777777" w:rsidR="00656EF3" w:rsidRPr="0043470C" w:rsidRDefault="00656EF3" w:rsidP="00656EF3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43470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Визначення та принципи</w:t>
      </w:r>
    </w:p>
    <w:p w14:paraId="6D7EABEA" w14:textId="497826BA" w:rsidR="00656EF3" w:rsidRPr="00656EF3" w:rsidRDefault="00A11B7B" w:rsidP="00656E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520B08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лікарського засобу </w:t>
      </w:r>
      <w:r w:rsidRPr="00A11B7B">
        <w:rPr>
          <w:rFonts w:ascii="Times New Roman" w:hAnsi="Times New Roman" w:cs="Times New Roman"/>
          <w:sz w:val="28"/>
          <w:szCs w:val="28"/>
          <w:lang w:val="uk-UA"/>
        </w:rPr>
        <w:t xml:space="preserve">поза зареєстрованими показаннями 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656EF3" w:rsidRPr="00656EF3">
        <w:rPr>
          <w:rFonts w:ascii="Times New Roman" w:hAnsi="Times New Roman" w:cs="Times New Roman"/>
          <w:sz w:val="28"/>
          <w:szCs w:val="28"/>
          <w:lang w:val="uk-UA"/>
        </w:rPr>
        <w:t>ир</w:t>
      </w:r>
      <w:r>
        <w:rPr>
          <w:rFonts w:ascii="Times New Roman" w:hAnsi="Times New Roman" w:cs="Times New Roman"/>
          <w:sz w:val="28"/>
          <w:szCs w:val="28"/>
          <w:lang w:val="uk-UA"/>
        </w:rPr>
        <w:t>око визначається як застосування</w:t>
      </w:r>
      <w:r w:rsidR="00656EF3" w:rsidRPr="00656EF3">
        <w:rPr>
          <w:rFonts w:ascii="Times New Roman" w:hAnsi="Times New Roman" w:cs="Times New Roman"/>
          <w:sz w:val="28"/>
          <w:szCs w:val="28"/>
          <w:lang w:val="uk-UA"/>
        </w:rPr>
        <w:t xml:space="preserve"> фармаце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втичного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агента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незатвердженими </w:t>
      </w:r>
      <w:r w:rsidR="00656EF3" w:rsidRPr="00656EF3">
        <w:rPr>
          <w:rFonts w:ascii="Times New Roman" w:hAnsi="Times New Roman" w:cs="Times New Roman"/>
          <w:sz w:val="28"/>
          <w:szCs w:val="28"/>
          <w:lang w:val="uk-UA"/>
        </w:rPr>
        <w:t>показання</w:t>
      </w:r>
      <w:r>
        <w:rPr>
          <w:rFonts w:ascii="Times New Roman" w:hAnsi="Times New Roman" w:cs="Times New Roman"/>
          <w:sz w:val="28"/>
          <w:szCs w:val="28"/>
          <w:lang w:val="uk-UA"/>
        </w:rPr>
        <w:t>ми або для незатвердженої вікової групи</w:t>
      </w:r>
      <w:r w:rsidR="00656EF3" w:rsidRPr="00656E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 призначення незатверджених доз лікування, тривалості та способів </w:t>
      </w:r>
      <w:r w:rsidR="00C13097"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="009F7819">
        <w:rPr>
          <w:rFonts w:ascii="Times New Roman" w:hAnsi="Times New Roman" w:cs="Times New Roman"/>
          <w:sz w:val="28"/>
          <w:szCs w:val="28"/>
          <w:lang w:val="uk-UA"/>
        </w:rPr>
        <w:t xml:space="preserve"> (10) (рис</w:t>
      </w:r>
      <w:r w:rsidR="00656EF3" w:rsidRPr="00656EF3">
        <w:rPr>
          <w:rFonts w:ascii="Times New Roman" w:hAnsi="Times New Roman" w:cs="Times New Roman"/>
          <w:sz w:val="28"/>
          <w:szCs w:val="28"/>
          <w:lang w:val="uk-UA"/>
        </w:rPr>
        <w:t>. 1). За відсутності високоякісних доказів</w:t>
      </w:r>
      <w:r w:rsidR="00BB5C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20B0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20B08" w:rsidRPr="00520B08">
        <w:rPr>
          <w:rFonts w:ascii="Times New Roman" w:hAnsi="Times New Roman" w:cs="Times New Roman"/>
          <w:sz w:val="28"/>
          <w:szCs w:val="28"/>
          <w:lang w:val="uk-UA"/>
        </w:rPr>
        <w:t>астосування лікарського засобу</w:t>
      </w:r>
      <w:r w:rsidR="00BB5CCB" w:rsidRPr="00BB5CCB">
        <w:rPr>
          <w:rFonts w:ascii="Times New Roman" w:hAnsi="Times New Roman" w:cs="Times New Roman"/>
          <w:sz w:val="28"/>
          <w:szCs w:val="28"/>
          <w:lang w:val="uk-UA"/>
        </w:rPr>
        <w:t xml:space="preserve"> поза зареєстрованими показаннями </w:t>
      </w:r>
      <w:r w:rsidR="00BB5CCB">
        <w:rPr>
          <w:rFonts w:ascii="Times New Roman" w:hAnsi="Times New Roman" w:cs="Times New Roman"/>
          <w:sz w:val="28"/>
          <w:szCs w:val="28"/>
          <w:lang w:val="uk-UA"/>
        </w:rPr>
        <w:t>може бути виправданим</w:t>
      </w:r>
      <w:r w:rsidR="00656EF3" w:rsidRPr="00656EF3">
        <w:rPr>
          <w:rFonts w:ascii="Times New Roman" w:hAnsi="Times New Roman" w:cs="Times New Roman"/>
          <w:sz w:val="28"/>
          <w:szCs w:val="28"/>
          <w:lang w:val="uk-UA"/>
        </w:rPr>
        <w:t>, коли:</w:t>
      </w:r>
    </w:p>
    <w:p w14:paraId="2F96262C" w14:textId="3BD219A4" w:rsidR="00B9292C" w:rsidRDefault="00CC5015" w:rsidP="00B929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B3361" w:rsidRPr="00DB3361">
        <w:rPr>
          <w:rFonts w:ascii="Times New Roman" w:hAnsi="Times New Roman" w:cs="Times New Roman"/>
          <w:sz w:val="28"/>
          <w:szCs w:val="28"/>
          <w:lang w:val="uk-UA"/>
        </w:rPr>
        <w:t>захворювання/</w:t>
      </w:r>
      <w:r w:rsidR="00BB5CCB" w:rsidRPr="00DB3361">
        <w:rPr>
          <w:rFonts w:ascii="Times New Roman" w:hAnsi="Times New Roman" w:cs="Times New Roman"/>
          <w:sz w:val="28"/>
          <w:szCs w:val="28"/>
          <w:lang w:val="uk-UA"/>
        </w:rPr>
        <w:t xml:space="preserve">стан </w:t>
      </w:r>
      <w:r w:rsidR="00A95C63">
        <w:rPr>
          <w:rFonts w:ascii="Times New Roman" w:hAnsi="Times New Roman" w:cs="Times New Roman"/>
          <w:sz w:val="28"/>
          <w:szCs w:val="28"/>
          <w:lang w:val="uk-UA"/>
        </w:rPr>
        <w:t>який потребує лікування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BB5CCB">
        <w:rPr>
          <w:rFonts w:ascii="Times New Roman" w:hAnsi="Times New Roman" w:cs="Times New Roman"/>
          <w:sz w:val="28"/>
          <w:szCs w:val="28"/>
          <w:lang w:val="uk-UA"/>
        </w:rPr>
        <w:t xml:space="preserve"> тяжким</w:t>
      </w:r>
      <w:r w:rsidR="00656EF3" w:rsidRPr="00656EF3">
        <w:rPr>
          <w:rFonts w:ascii="Times New Roman" w:hAnsi="Times New Roman" w:cs="Times New Roman"/>
          <w:sz w:val="28"/>
          <w:szCs w:val="28"/>
          <w:lang w:val="uk-UA"/>
        </w:rPr>
        <w:t>, і існують інші док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ази, що підтверджують потенційну </w:t>
      </w:r>
      <w:r w:rsidR="00656EF3" w:rsidRPr="00656EF3">
        <w:rPr>
          <w:rFonts w:ascii="Times New Roman" w:hAnsi="Times New Roman" w:cs="Times New Roman"/>
          <w:sz w:val="28"/>
          <w:szCs w:val="28"/>
          <w:lang w:val="uk-UA"/>
        </w:rPr>
        <w:t xml:space="preserve">користь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такої дії </w:t>
      </w:r>
      <w:r w:rsidR="00656EF3" w:rsidRPr="00656EF3">
        <w:rPr>
          <w:rFonts w:ascii="Times New Roman" w:hAnsi="Times New Roman" w:cs="Times New Roman"/>
          <w:sz w:val="28"/>
          <w:szCs w:val="28"/>
          <w:lang w:val="uk-UA"/>
        </w:rPr>
        <w:t>(о</w:t>
      </w:r>
      <w:r>
        <w:rPr>
          <w:rFonts w:ascii="Times New Roman" w:hAnsi="Times New Roman" w:cs="Times New Roman"/>
          <w:sz w:val="28"/>
          <w:szCs w:val="28"/>
          <w:lang w:val="uk-UA"/>
        </w:rPr>
        <w:t>собливо, якщо очікувана користь</w:t>
      </w:r>
      <w:r w:rsidR="00935554">
        <w:rPr>
          <w:rFonts w:ascii="Times New Roman" w:hAnsi="Times New Roman" w:cs="Times New Roman"/>
          <w:sz w:val="28"/>
          <w:szCs w:val="28"/>
          <w:lang w:val="uk-UA"/>
        </w:rPr>
        <w:t xml:space="preserve"> перевищує</w:t>
      </w:r>
      <w:r w:rsidR="00656EF3" w:rsidRPr="00656EF3">
        <w:rPr>
          <w:rFonts w:ascii="Times New Roman" w:hAnsi="Times New Roman" w:cs="Times New Roman"/>
          <w:sz w:val="28"/>
          <w:szCs w:val="28"/>
          <w:lang w:val="uk-UA"/>
        </w:rPr>
        <w:t xml:space="preserve"> потенційний ризик);</w:t>
      </w:r>
    </w:p>
    <w:p w14:paraId="2E432AB2" w14:textId="77777777" w:rsidR="00B9292C" w:rsidRPr="00B9292C" w:rsidRDefault="00B9292C" w:rsidP="00B929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92C">
        <w:rPr>
          <w:rFonts w:ascii="Times New Roman" w:hAnsi="Times New Roman" w:cs="Times New Roman"/>
          <w:sz w:val="28"/>
          <w:szCs w:val="28"/>
          <w:lang w:val="uk-UA"/>
        </w:rPr>
        <w:t>- стандартна терапія вважається неадекватною для досягнення бажаного результату;</w:t>
      </w:r>
    </w:p>
    <w:p w14:paraId="61C9B7CB" w14:textId="31F31F4C" w:rsidR="00B9292C" w:rsidRPr="00B9292C" w:rsidRDefault="00B9292C" w:rsidP="00B929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92C">
        <w:rPr>
          <w:rFonts w:ascii="Times New Roman" w:hAnsi="Times New Roman" w:cs="Times New Roman"/>
          <w:sz w:val="28"/>
          <w:szCs w:val="28"/>
          <w:lang w:val="uk-UA"/>
        </w:rPr>
        <w:t>- пацієнти були належним чин</w:t>
      </w:r>
      <w:r w:rsidR="00C761AF">
        <w:rPr>
          <w:rFonts w:ascii="Times New Roman" w:hAnsi="Times New Roman" w:cs="Times New Roman"/>
          <w:sz w:val="28"/>
          <w:szCs w:val="28"/>
          <w:lang w:val="uk-UA"/>
        </w:rPr>
        <w:t>ом поінформовані про можливу користь та ризики застосування</w:t>
      </w:r>
      <w:r w:rsidR="00C761AF" w:rsidRPr="00C761AF">
        <w:rPr>
          <w:rFonts w:ascii="Times New Roman" w:hAnsi="Times New Roman" w:cs="Times New Roman"/>
          <w:sz w:val="28"/>
          <w:szCs w:val="28"/>
          <w:lang w:val="uk-UA"/>
        </w:rPr>
        <w:t xml:space="preserve"> препарату поза </w:t>
      </w:r>
      <w:r w:rsidR="00C761AF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C761AF" w:rsidRPr="00C761AF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зареєстрованими показаннями </w:t>
      </w:r>
      <w:r w:rsidR="009F781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погодилися </w:t>
      </w:r>
      <w:r w:rsidR="009F7819">
        <w:rPr>
          <w:rFonts w:ascii="Times New Roman" w:hAnsi="Times New Roman" w:cs="Times New Roman"/>
          <w:sz w:val="28"/>
          <w:szCs w:val="28"/>
          <w:lang w:val="uk-UA"/>
        </w:rPr>
        <w:t xml:space="preserve">на лікування 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761AF">
        <w:rPr>
          <w:rFonts w:ascii="Times New Roman" w:hAnsi="Times New Roman" w:cs="Times New Roman"/>
          <w:sz w:val="28"/>
          <w:szCs w:val="28"/>
          <w:lang w:val="uk-UA"/>
        </w:rPr>
        <w:t>в деяких установ</w:t>
      </w:r>
      <w:r w:rsidR="00C761AF"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ах може знадобитися 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>письмова згода);</w:t>
      </w:r>
    </w:p>
    <w:p w14:paraId="129CCB61" w14:textId="6372C56E" w:rsidR="00656EF3" w:rsidRDefault="00B9292C" w:rsidP="00B929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F7819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забезпечується 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>активний та адекватний моніторинг безпеки ліків</w:t>
      </w:r>
      <w:r w:rsidR="009F7819">
        <w:rPr>
          <w:rFonts w:ascii="Times New Roman" w:hAnsi="Times New Roman" w:cs="Times New Roman"/>
          <w:sz w:val="28"/>
          <w:szCs w:val="28"/>
          <w:lang w:val="uk-UA"/>
        </w:rPr>
        <w:t>, що включає механізми виявлення та усунення побічних реакцій</w:t>
      </w:r>
    </w:p>
    <w:p w14:paraId="2432F98B" w14:textId="77777777" w:rsidR="00B9292C" w:rsidRPr="00B9292C" w:rsidRDefault="00520B08" w:rsidP="00B929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20B08">
        <w:rPr>
          <w:rFonts w:ascii="Times New Roman" w:hAnsi="Times New Roman" w:cs="Times New Roman"/>
          <w:sz w:val="28"/>
          <w:szCs w:val="28"/>
          <w:lang w:val="uk-UA"/>
        </w:rPr>
        <w:t xml:space="preserve">астосування лікарського засобу поза зареєстрованими показаннями </w:t>
      </w:r>
      <w:r w:rsidR="00B9292C" w:rsidRPr="00B9292C">
        <w:rPr>
          <w:rFonts w:ascii="Times New Roman" w:hAnsi="Times New Roman" w:cs="Times New Roman"/>
          <w:sz w:val="28"/>
          <w:szCs w:val="28"/>
          <w:lang w:val="uk-UA"/>
        </w:rPr>
        <w:t>є законним, якщо воно не порушує етичних правил т</w:t>
      </w:r>
      <w:r w:rsidR="00C13097">
        <w:rPr>
          <w:rFonts w:ascii="Times New Roman" w:hAnsi="Times New Roman" w:cs="Times New Roman"/>
          <w:sz w:val="28"/>
          <w:szCs w:val="28"/>
          <w:lang w:val="uk-UA"/>
        </w:rPr>
        <w:t xml:space="preserve">а норм безпеки, які можуть </w:t>
      </w:r>
      <w:r w:rsidR="00B9292C" w:rsidRPr="00B9292C">
        <w:rPr>
          <w:rFonts w:ascii="Times New Roman" w:hAnsi="Times New Roman" w:cs="Times New Roman"/>
          <w:sz w:val="28"/>
          <w:szCs w:val="28"/>
          <w:lang w:val="uk-UA"/>
        </w:rPr>
        <w:t>відрізняються між країн</w:t>
      </w:r>
      <w:r w:rsidR="00C13097">
        <w:rPr>
          <w:rFonts w:ascii="Times New Roman" w:hAnsi="Times New Roman" w:cs="Times New Roman"/>
          <w:sz w:val="28"/>
          <w:szCs w:val="28"/>
          <w:lang w:val="uk-UA"/>
        </w:rPr>
        <w:t>ами (11). Практика такого застосування</w:t>
      </w:r>
      <w:r w:rsidR="00B9292C"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097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відбувається в багатьох галузях</w:t>
      </w:r>
      <w:r w:rsidR="00B9292C"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 медицини і</w:t>
      </w:r>
      <w:r w:rsidR="00C13097">
        <w:rPr>
          <w:rFonts w:ascii="Times New Roman" w:hAnsi="Times New Roman" w:cs="Times New Roman"/>
          <w:sz w:val="28"/>
          <w:szCs w:val="28"/>
          <w:lang w:val="uk-UA"/>
        </w:rPr>
        <w:t xml:space="preserve"> швидше за все, серед груп населення</w:t>
      </w:r>
      <w:r w:rsidR="00B9292C"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, які недостатньо представлені у клінічних </w:t>
      </w:r>
      <w:r w:rsidR="00C13097">
        <w:rPr>
          <w:rFonts w:ascii="Times New Roman" w:hAnsi="Times New Roman" w:cs="Times New Roman"/>
          <w:sz w:val="28"/>
          <w:szCs w:val="28"/>
          <w:lang w:val="uk-UA"/>
        </w:rPr>
        <w:t>випробуваннях, таких як діти та вагітні жінки</w:t>
      </w:r>
      <w:r w:rsidR="00B9292C" w:rsidRPr="00B929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9C10E7" w14:textId="77777777" w:rsidR="00B9292C" w:rsidRPr="00B9292C" w:rsidRDefault="00B9292C" w:rsidP="00B929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C13097" w:rsidRPr="00C13097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лікарського засобу поза зареєстрованими показаннями 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підпадає під сферу компетенції національних регуляторних </w:t>
      </w:r>
      <w:r w:rsidR="00C13097">
        <w:rPr>
          <w:rFonts w:ascii="Times New Roman" w:hAnsi="Times New Roman" w:cs="Times New Roman"/>
          <w:sz w:val="28"/>
          <w:szCs w:val="28"/>
          <w:lang w:val="uk-UA"/>
        </w:rPr>
        <w:t xml:space="preserve">агенцій (тобто </w:t>
      </w:r>
      <w:r w:rsidR="00F06947">
        <w:rPr>
          <w:rFonts w:ascii="Times New Roman" w:hAnsi="Times New Roman" w:cs="Times New Roman"/>
          <w:sz w:val="28"/>
          <w:szCs w:val="28"/>
          <w:lang w:val="uk-UA"/>
        </w:rPr>
        <w:t>регуляторної</w:t>
      </w:r>
      <w:r w:rsidR="00C130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947">
        <w:rPr>
          <w:rFonts w:ascii="Times New Roman" w:hAnsi="Times New Roman" w:cs="Times New Roman"/>
          <w:sz w:val="28"/>
          <w:szCs w:val="28"/>
          <w:lang w:val="uk-UA"/>
        </w:rPr>
        <w:t>діяльності та відповідальності кожної окремої країни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F06947">
        <w:rPr>
          <w:rFonts w:ascii="Times New Roman" w:hAnsi="Times New Roman" w:cs="Times New Roman"/>
          <w:sz w:val="28"/>
          <w:szCs w:val="28"/>
          <w:lang w:val="uk-UA"/>
        </w:rPr>
        <w:t>Клініци</w:t>
      </w:r>
      <w:r w:rsidR="00B03ACB">
        <w:rPr>
          <w:rFonts w:ascii="Times New Roman" w:hAnsi="Times New Roman" w:cs="Times New Roman"/>
          <w:sz w:val="28"/>
          <w:szCs w:val="28"/>
          <w:lang w:val="uk-UA"/>
        </w:rPr>
        <w:t>сти, які діють</w:t>
      </w:r>
      <w:r w:rsidR="00B03ACB" w:rsidRPr="00F06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ACB">
        <w:rPr>
          <w:rFonts w:ascii="Times New Roman" w:hAnsi="Times New Roman" w:cs="Times New Roman"/>
          <w:sz w:val="28"/>
          <w:szCs w:val="28"/>
          <w:lang w:val="uk-UA"/>
        </w:rPr>
        <w:t xml:space="preserve">в інтересах пацієнта, </w:t>
      </w:r>
      <w:r w:rsidR="00F06947">
        <w:rPr>
          <w:rFonts w:ascii="Times New Roman" w:hAnsi="Times New Roman" w:cs="Times New Roman"/>
          <w:sz w:val="28"/>
          <w:szCs w:val="28"/>
          <w:lang w:val="uk-UA"/>
        </w:rPr>
        <w:t>часто вдаються до практики з</w:t>
      </w:r>
      <w:r w:rsidR="00F06947" w:rsidRPr="00F06947">
        <w:rPr>
          <w:rFonts w:ascii="Times New Roman" w:hAnsi="Times New Roman" w:cs="Times New Roman"/>
          <w:sz w:val="28"/>
          <w:szCs w:val="28"/>
          <w:lang w:val="uk-UA"/>
        </w:rPr>
        <w:t>астосування лікарського засобу поза зареєстрованими показаннями</w:t>
      </w:r>
      <w:r w:rsidR="00B03A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6947">
        <w:rPr>
          <w:rFonts w:ascii="Times New Roman" w:hAnsi="Times New Roman" w:cs="Times New Roman"/>
          <w:sz w:val="28"/>
          <w:szCs w:val="28"/>
          <w:lang w:val="uk-UA"/>
        </w:rPr>
        <w:t xml:space="preserve">але це 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>вимагає належної координації з націонал</w:t>
      </w:r>
      <w:r w:rsidR="00B03ACB">
        <w:rPr>
          <w:rFonts w:ascii="Times New Roman" w:hAnsi="Times New Roman" w:cs="Times New Roman"/>
          <w:sz w:val="28"/>
          <w:szCs w:val="28"/>
          <w:lang w:val="uk-UA"/>
        </w:rPr>
        <w:t>ьними службами охорони здоров'я та дотримання відповідних місцевих рекомендацій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414BBA" w14:textId="77777777" w:rsidR="00B9292C" w:rsidRPr="00B9292C" w:rsidRDefault="00B9292C" w:rsidP="00B929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• Маркетинг 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>застосування лікарських засобів</w:t>
      </w:r>
      <w:r w:rsidR="004322A1" w:rsidRPr="004322A1">
        <w:rPr>
          <w:rFonts w:ascii="Times New Roman" w:hAnsi="Times New Roman" w:cs="Times New Roman"/>
          <w:sz w:val="28"/>
          <w:szCs w:val="28"/>
          <w:lang w:val="uk-UA"/>
        </w:rPr>
        <w:t xml:space="preserve"> поза 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4322A1" w:rsidRPr="004322A1">
        <w:rPr>
          <w:rFonts w:ascii="Times New Roman" w:hAnsi="Times New Roman" w:cs="Times New Roman"/>
          <w:sz w:val="28"/>
          <w:szCs w:val="28"/>
          <w:lang w:val="uk-UA"/>
        </w:rPr>
        <w:t>зареєстрованими показаннями</w:t>
      </w:r>
      <w:r w:rsidR="00B03ACB">
        <w:rPr>
          <w:rFonts w:ascii="Times New Roman" w:hAnsi="Times New Roman" w:cs="Times New Roman"/>
          <w:sz w:val="28"/>
          <w:szCs w:val="28"/>
          <w:lang w:val="uk-UA"/>
        </w:rPr>
        <w:t xml:space="preserve">, зазвичай заборонено 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>регуляторними органами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 через потенційні ризики для здоров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>'я та юридичну відповідальність внаслідок такого застосування.</w:t>
      </w:r>
    </w:p>
    <w:p w14:paraId="0C03084C" w14:textId="06561833" w:rsidR="00B9292C" w:rsidRPr="00B9292C" w:rsidRDefault="00B9292C" w:rsidP="00B929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C23737">
        <w:rPr>
          <w:rFonts w:ascii="Times New Roman" w:hAnsi="Times New Roman" w:cs="Times New Roman"/>
          <w:sz w:val="28"/>
          <w:szCs w:val="28"/>
          <w:lang w:val="uk-UA"/>
        </w:rPr>
        <w:t xml:space="preserve">Загалом, ВООЗ </w:t>
      </w:r>
      <w:r w:rsidR="00C23737"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проти </w:t>
      </w:r>
      <w:r w:rsidR="00C23737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лікарських засобів </w:t>
      </w:r>
      <w:r w:rsidR="00C23737"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без </w:t>
      </w:r>
      <w:r w:rsidR="00F2451A">
        <w:rPr>
          <w:rFonts w:ascii="Times New Roman" w:hAnsi="Times New Roman" w:cs="Times New Roman"/>
          <w:sz w:val="28"/>
          <w:szCs w:val="28"/>
          <w:lang w:val="uk-UA"/>
        </w:rPr>
        <w:t xml:space="preserve">наявних </w:t>
      </w:r>
      <w:r w:rsidR="00C23737">
        <w:rPr>
          <w:rFonts w:ascii="Times New Roman" w:hAnsi="Times New Roman" w:cs="Times New Roman"/>
          <w:sz w:val="28"/>
          <w:szCs w:val="28"/>
          <w:lang w:val="uk-UA"/>
        </w:rPr>
        <w:t xml:space="preserve">підтверджуючих </w:t>
      </w:r>
      <w:r w:rsidR="00F2451A">
        <w:rPr>
          <w:rFonts w:ascii="Times New Roman" w:hAnsi="Times New Roman" w:cs="Times New Roman"/>
          <w:sz w:val="28"/>
          <w:szCs w:val="28"/>
          <w:lang w:val="uk-UA"/>
        </w:rPr>
        <w:t xml:space="preserve">користь </w:t>
      </w:r>
      <w:r w:rsidR="00C23737">
        <w:rPr>
          <w:rFonts w:ascii="Times New Roman" w:hAnsi="Times New Roman" w:cs="Times New Roman"/>
          <w:sz w:val="28"/>
          <w:szCs w:val="28"/>
          <w:lang w:val="uk-UA"/>
        </w:rPr>
        <w:t>доказів, коли мова йдеться про розробку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 політики </w:t>
      </w:r>
      <w:r w:rsidR="00C23737">
        <w:rPr>
          <w:rFonts w:ascii="Times New Roman" w:hAnsi="Times New Roman" w:cs="Times New Roman"/>
          <w:sz w:val="28"/>
          <w:szCs w:val="28"/>
          <w:lang w:val="uk-UA"/>
        </w:rPr>
        <w:t xml:space="preserve">у сфері </w:t>
      </w:r>
      <w:r w:rsidR="00C23737"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охорони </w:t>
      </w:r>
      <w:r w:rsidR="00C23737">
        <w:rPr>
          <w:rFonts w:ascii="Times New Roman" w:hAnsi="Times New Roman" w:cs="Times New Roman"/>
          <w:sz w:val="28"/>
          <w:szCs w:val="28"/>
          <w:lang w:val="uk-UA"/>
        </w:rPr>
        <w:t>громадського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 здоров'я </w:t>
      </w:r>
      <w:r w:rsidR="00F2451A">
        <w:rPr>
          <w:rFonts w:ascii="Times New Roman" w:hAnsi="Times New Roman" w:cs="Times New Roman"/>
          <w:sz w:val="28"/>
          <w:szCs w:val="28"/>
          <w:lang w:val="uk-UA"/>
        </w:rPr>
        <w:t>("застосування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 без </w:t>
      </w:r>
      <w:r w:rsidR="00C23737">
        <w:rPr>
          <w:rFonts w:ascii="Times New Roman" w:hAnsi="Times New Roman" w:cs="Times New Roman"/>
          <w:sz w:val="28"/>
          <w:szCs w:val="28"/>
          <w:lang w:val="uk-UA"/>
        </w:rPr>
        <w:t>наявної доказової бази" на відміну</w:t>
      </w:r>
      <w:r w:rsidR="00F2451A">
        <w:rPr>
          <w:rFonts w:ascii="Times New Roman" w:hAnsi="Times New Roman" w:cs="Times New Roman"/>
          <w:sz w:val="28"/>
          <w:szCs w:val="28"/>
          <w:lang w:val="uk-UA"/>
        </w:rPr>
        <w:t xml:space="preserve"> від "</w:t>
      </w:r>
      <w:r w:rsidR="00F2451A" w:rsidRPr="00F2451A">
        <w:rPr>
          <w:lang w:val="uk-UA"/>
        </w:rPr>
        <w:t xml:space="preserve"> </w:t>
      </w:r>
      <w:r w:rsidR="00F2451A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поза </w:t>
      </w:r>
      <w:r w:rsidR="00F2451A" w:rsidRPr="00F2451A">
        <w:rPr>
          <w:rFonts w:ascii="Times New Roman" w:hAnsi="Times New Roman" w:cs="Times New Roman"/>
          <w:sz w:val="28"/>
          <w:szCs w:val="28"/>
          <w:lang w:val="uk-UA"/>
        </w:rPr>
        <w:t>зареєстрованими показаннями</w:t>
      </w:r>
      <w:r w:rsidR="00F2451A">
        <w:rPr>
          <w:rFonts w:ascii="Times New Roman" w:hAnsi="Times New Roman" w:cs="Times New Roman"/>
          <w:sz w:val="28"/>
          <w:szCs w:val="28"/>
          <w:lang w:val="uk-UA"/>
        </w:rPr>
        <w:t xml:space="preserve"> "). Наявність відповідних наукових даних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 є передумовою для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51A">
        <w:rPr>
          <w:rFonts w:ascii="Times New Roman" w:hAnsi="Times New Roman" w:cs="Times New Roman"/>
          <w:sz w:val="28"/>
          <w:szCs w:val="28"/>
          <w:lang w:val="uk-UA"/>
        </w:rPr>
        <w:t>розробки відповідних політик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51A">
        <w:rPr>
          <w:rFonts w:ascii="Times New Roman" w:hAnsi="Times New Roman" w:cs="Times New Roman"/>
          <w:sz w:val="28"/>
          <w:szCs w:val="28"/>
          <w:lang w:val="uk-UA"/>
        </w:rPr>
        <w:t xml:space="preserve">ВООЗ для сфери 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 xml:space="preserve">охорони </w:t>
      </w:r>
      <w:r w:rsidR="00F2451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>здоров'я</w:t>
      </w:r>
      <w:r w:rsidR="00F2451A">
        <w:rPr>
          <w:rFonts w:ascii="Times New Roman" w:hAnsi="Times New Roman" w:cs="Times New Roman"/>
          <w:sz w:val="28"/>
          <w:szCs w:val="28"/>
          <w:lang w:val="uk-UA"/>
        </w:rPr>
        <w:t xml:space="preserve">, які розробляються 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>під наглядом Комітету з розгляд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 xml:space="preserve">у рекомендацій ВООЗ (GRC) (12); </w:t>
      </w:r>
      <w:hyperlink r:id="rId8" w:history="1">
        <w:r w:rsidRPr="002A6317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http://www.who.int/publications/guidelines/handbook_2n</w:t>
        </w:r>
        <w:r w:rsidR="004322A1" w:rsidRPr="002A6317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d_ed.pdf</w:t>
        </w:r>
      </w:hyperlink>
      <w:r w:rsidR="004322A1"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r w:rsidR="00F2451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F2451A">
        <w:rPr>
          <w:rFonts w:ascii="Times New Roman" w:hAnsi="Times New Roman" w:cs="Times New Roman"/>
          <w:sz w:val="28"/>
          <w:szCs w:val="28"/>
          <w:lang w:val="uk-UA"/>
        </w:rPr>
        <w:t xml:space="preserve">м системи 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 xml:space="preserve"> GRADE</w:t>
      </w:r>
      <w:r w:rsidR="00E32350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F245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850">
        <w:rPr>
          <w:rFonts w:ascii="Times New Roman" w:hAnsi="Times New Roman" w:cs="Times New Roman"/>
          <w:sz w:val="28"/>
          <w:szCs w:val="28"/>
          <w:lang w:val="uk-UA"/>
        </w:rPr>
        <w:t xml:space="preserve">систематичного підходу, який базується на доказовій медицині 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>(13).</w:t>
      </w:r>
    </w:p>
    <w:p w14:paraId="6B620A66" w14:textId="3F0C4E8A" w:rsidR="004322A1" w:rsidRDefault="00B9292C" w:rsidP="00B929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• Поточна політика ВООЗ щодо лікування </w:t>
      </w:r>
      <w:proofErr w:type="spellStart"/>
      <w:r w:rsidRPr="00B9292C">
        <w:rPr>
          <w:rFonts w:ascii="Times New Roman" w:hAnsi="Times New Roman" w:cs="Times New Roman"/>
          <w:sz w:val="28"/>
          <w:szCs w:val="28"/>
          <w:lang w:val="uk-UA"/>
        </w:rPr>
        <w:t>бедаквілін</w:t>
      </w:r>
      <w:r w:rsidR="00F34CA7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B9292C">
        <w:rPr>
          <w:rFonts w:ascii="Times New Roman" w:hAnsi="Times New Roman" w:cs="Times New Roman"/>
          <w:sz w:val="28"/>
          <w:szCs w:val="28"/>
          <w:lang w:val="uk-UA"/>
        </w:rPr>
        <w:t>дел</w:t>
      </w:r>
      <w:r w:rsidR="004D7CCE">
        <w:rPr>
          <w:rFonts w:ascii="Times New Roman" w:hAnsi="Times New Roman" w:cs="Times New Roman"/>
          <w:sz w:val="28"/>
          <w:szCs w:val="28"/>
          <w:lang w:val="uk-UA"/>
        </w:rPr>
        <w:t>аманід</w:t>
      </w:r>
      <w:r w:rsidR="00F34CA7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4D7CCE">
        <w:rPr>
          <w:rFonts w:ascii="Times New Roman" w:hAnsi="Times New Roman" w:cs="Times New Roman"/>
          <w:sz w:val="28"/>
          <w:szCs w:val="28"/>
          <w:lang w:val="uk-UA"/>
        </w:rPr>
        <w:t xml:space="preserve"> є проміжною, з огляду на те, що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докази </w:t>
      </w:r>
      <w:r w:rsidR="004D7CC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їх використання </w:t>
      </w:r>
      <w:proofErr w:type="spellStart"/>
      <w:r w:rsidRPr="00B9292C">
        <w:rPr>
          <w:rFonts w:ascii="Times New Roman" w:hAnsi="Times New Roman" w:cs="Times New Roman"/>
          <w:sz w:val="28"/>
          <w:szCs w:val="28"/>
          <w:lang w:val="uk-UA"/>
        </w:rPr>
        <w:t>грунтувалися</w:t>
      </w:r>
      <w:proofErr w:type="spellEnd"/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819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>на даних про безпечність та ефективності</w:t>
      </w:r>
      <w:r w:rsidR="009F7819">
        <w:rPr>
          <w:rFonts w:ascii="Times New Roman" w:hAnsi="Times New Roman" w:cs="Times New Roman"/>
          <w:sz w:val="28"/>
          <w:szCs w:val="28"/>
          <w:lang w:val="uk-UA"/>
        </w:rPr>
        <w:t xml:space="preserve"> клінічних випробувань</w:t>
      </w:r>
      <w:r w:rsidR="004D7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 xml:space="preserve">фази </w:t>
      </w:r>
      <w:proofErr w:type="spellStart"/>
      <w:r w:rsidR="004322A1">
        <w:rPr>
          <w:rFonts w:ascii="Times New Roman" w:hAnsi="Times New Roman" w:cs="Times New Roman"/>
          <w:sz w:val="28"/>
          <w:szCs w:val="28"/>
          <w:lang w:val="uk-UA"/>
        </w:rPr>
        <w:t>IIb</w:t>
      </w:r>
      <w:proofErr w:type="spellEnd"/>
      <w:r w:rsidR="004322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>(4), (7), (9). Політика буде переглянута та оновле</w:t>
      </w:r>
      <w:r w:rsidR="004D7CCE">
        <w:rPr>
          <w:rFonts w:ascii="Times New Roman" w:hAnsi="Times New Roman" w:cs="Times New Roman"/>
          <w:sz w:val="28"/>
          <w:szCs w:val="28"/>
          <w:lang w:val="uk-UA"/>
        </w:rPr>
        <w:t>на за наявності додаткових даних.</w:t>
      </w:r>
    </w:p>
    <w:p w14:paraId="2B35CD23" w14:textId="363F66EF" w:rsidR="00B9292C" w:rsidRPr="00B9292C" w:rsidRDefault="00B9292C" w:rsidP="00B929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92C">
        <w:rPr>
          <w:rFonts w:ascii="Times New Roman" w:hAnsi="Times New Roman" w:cs="Times New Roman"/>
          <w:sz w:val="28"/>
          <w:szCs w:val="28"/>
          <w:lang w:val="uk-UA"/>
        </w:rPr>
        <w:t>• У 2016 році ВООЗ оновила свої рекомендації щ</w:t>
      </w:r>
      <w:r w:rsidR="004D7CCE">
        <w:rPr>
          <w:rFonts w:ascii="Times New Roman" w:hAnsi="Times New Roman" w:cs="Times New Roman"/>
          <w:sz w:val="28"/>
          <w:szCs w:val="28"/>
          <w:lang w:val="uk-UA"/>
        </w:rPr>
        <w:t>одо лікування МРТБ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 </w:t>
      </w:r>
      <w:r w:rsidR="004D7CCE">
        <w:rPr>
          <w:rFonts w:ascii="Times New Roman" w:hAnsi="Times New Roman" w:cs="Times New Roman"/>
          <w:sz w:val="28"/>
          <w:szCs w:val="28"/>
          <w:lang w:val="uk-UA"/>
        </w:rPr>
        <w:t>класифікацію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 лікарських засобів, що застосовуються при розробці більш трив</w:t>
      </w:r>
      <w:r w:rsidR="004D7CCE">
        <w:rPr>
          <w:rFonts w:ascii="Times New Roman" w:hAnsi="Times New Roman" w:cs="Times New Roman"/>
          <w:sz w:val="28"/>
          <w:szCs w:val="28"/>
          <w:lang w:val="uk-UA"/>
        </w:rPr>
        <w:t>алих схем лікування М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 xml:space="preserve">РТБ (14). 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>Ці рекомендації підтвердили роль б</w:t>
      </w:r>
      <w:r w:rsidR="0004136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>дакв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 xml:space="preserve">іліну та </w:t>
      </w:r>
      <w:proofErr w:type="spellStart"/>
      <w:r w:rsidR="004322A1">
        <w:rPr>
          <w:rFonts w:ascii="Times New Roman" w:hAnsi="Times New Roman" w:cs="Times New Roman"/>
          <w:sz w:val="28"/>
          <w:szCs w:val="28"/>
          <w:lang w:val="uk-UA"/>
        </w:rPr>
        <w:t>деламаніду</w:t>
      </w:r>
      <w:proofErr w:type="spellEnd"/>
      <w:r w:rsidR="004322A1">
        <w:rPr>
          <w:rFonts w:ascii="Times New Roman" w:hAnsi="Times New Roman" w:cs="Times New Roman"/>
          <w:sz w:val="28"/>
          <w:szCs w:val="28"/>
          <w:lang w:val="uk-UA"/>
        </w:rPr>
        <w:t xml:space="preserve"> в посиленні</w:t>
      </w:r>
      <w:r w:rsidR="004D7CCE">
        <w:rPr>
          <w:rFonts w:ascii="Times New Roman" w:hAnsi="Times New Roman" w:cs="Times New Roman"/>
          <w:sz w:val="28"/>
          <w:szCs w:val="28"/>
          <w:lang w:val="uk-UA"/>
        </w:rPr>
        <w:t xml:space="preserve"> більш тривалих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 режим</w:t>
      </w:r>
      <w:r w:rsidR="004D7CCE">
        <w:rPr>
          <w:rFonts w:ascii="Times New Roman" w:hAnsi="Times New Roman" w:cs="Times New Roman"/>
          <w:sz w:val="28"/>
          <w:szCs w:val="28"/>
          <w:lang w:val="uk-UA"/>
        </w:rPr>
        <w:t>ів МРТБ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 (для відповідних пацієнтів), а </w:t>
      </w:r>
      <w:r w:rsidR="00170670">
        <w:rPr>
          <w:rFonts w:ascii="Times New Roman" w:hAnsi="Times New Roman" w:cs="Times New Roman"/>
          <w:sz w:val="28"/>
          <w:szCs w:val="28"/>
          <w:lang w:val="uk-UA"/>
        </w:rPr>
        <w:t>також висвітлила</w:t>
      </w:r>
      <w:r w:rsidR="009F7819">
        <w:rPr>
          <w:rFonts w:ascii="Times New Roman" w:hAnsi="Times New Roman" w:cs="Times New Roman"/>
          <w:sz w:val="28"/>
          <w:szCs w:val="28"/>
          <w:lang w:val="uk-UA"/>
        </w:rPr>
        <w:t xml:space="preserve"> важлив</w:t>
      </w:r>
      <w:r w:rsidR="00F34CA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9F7819">
        <w:rPr>
          <w:rFonts w:ascii="Times New Roman" w:hAnsi="Times New Roman" w:cs="Times New Roman"/>
          <w:sz w:val="28"/>
          <w:szCs w:val="28"/>
          <w:lang w:val="uk-UA"/>
        </w:rPr>
        <w:t xml:space="preserve"> аспект </w:t>
      </w:r>
      <w:r w:rsidR="00170670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цих двох ліків у пацієнтів, для 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>яких стандартизова</w:t>
      </w:r>
      <w:r w:rsidR="00170670">
        <w:rPr>
          <w:rFonts w:ascii="Times New Roman" w:hAnsi="Times New Roman" w:cs="Times New Roman"/>
          <w:sz w:val="28"/>
          <w:szCs w:val="28"/>
          <w:lang w:val="uk-UA"/>
        </w:rPr>
        <w:t>на коротша схема МРТБ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4322A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може </w:t>
      </w:r>
      <w:r w:rsidR="00170670">
        <w:rPr>
          <w:rFonts w:ascii="Times New Roman" w:hAnsi="Times New Roman" w:cs="Times New Roman"/>
          <w:sz w:val="28"/>
          <w:szCs w:val="28"/>
          <w:lang w:val="uk-UA"/>
        </w:rPr>
        <w:t xml:space="preserve">бути застосована 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>(включаючи випадк</w:t>
      </w:r>
      <w:r w:rsidR="004D7CCE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170670">
        <w:rPr>
          <w:rFonts w:ascii="Times New Roman" w:hAnsi="Times New Roman" w:cs="Times New Roman"/>
          <w:sz w:val="28"/>
          <w:szCs w:val="28"/>
          <w:lang w:val="uk-UA"/>
        </w:rPr>
        <w:t>МРТБ з додатковою резистентністю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A0B88B6" w14:textId="77777777" w:rsidR="00B9292C" w:rsidRDefault="00B9292C" w:rsidP="00B9292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92C">
        <w:rPr>
          <w:rFonts w:ascii="Times New Roman" w:hAnsi="Times New Roman" w:cs="Times New Roman"/>
          <w:sz w:val="28"/>
          <w:szCs w:val="28"/>
          <w:lang w:val="uk-UA"/>
        </w:rPr>
        <w:t>• Консолідовані рекоменд</w:t>
      </w:r>
      <w:r w:rsidR="00A473F2">
        <w:rPr>
          <w:rFonts w:ascii="Times New Roman" w:hAnsi="Times New Roman" w:cs="Times New Roman"/>
          <w:sz w:val="28"/>
          <w:szCs w:val="28"/>
          <w:lang w:val="uk-UA"/>
        </w:rPr>
        <w:t>ації щодо лікування МРТБ (включаючи проміжні рекомендації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 щодо бедаквіліну</w:t>
      </w:r>
      <w:r w:rsidR="00A473F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A473F2">
        <w:rPr>
          <w:rFonts w:ascii="Times New Roman" w:hAnsi="Times New Roman" w:cs="Times New Roman"/>
          <w:sz w:val="28"/>
          <w:szCs w:val="28"/>
          <w:lang w:val="uk-UA"/>
        </w:rPr>
        <w:t>деламаніду</w:t>
      </w:r>
      <w:proofErr w:type="spellEnd"/>
      <w:r w:rsidR="00A473F2">
        <w:rPr>
          <w:rFonts w:ascii="Times New Roman" w:hAnsi="Times New Roman" w:cs="Times New Roman"/>
          <w:sz w:val="28"/>
          <w:szCs w:val="28"/>
          <w:lang w:val="uk-UA"/>
        </w:rPr>
        <w:t>) будуть розроблені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 xml:space="preserve"> ВООЗ пізніше </w:t>
      </w:r>
      <w:r w:rsidR="00A473F2">
        <w:rPr>
          <w:rFonts w:ascii="Times New Roman" w:hAnsi="Times New Roman" w:cs="Times New Roman"/>
          <w:sz w:val="28"/>
          <w:szCs w:val="28"/>
          <w:lang w:val="uk-UA"/>
        </w:rPr>
        <w:t>у 2017 році</w:t>
      </w:r>
      <w:r w:rsidRPr="00B929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89585" w14:textId="395CBBE3" w:rsidR="006136B1" w:rsidRPr="00C30CB1" w:rsidRDefault="00C30CB1" w:rsidP="006136B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Ця заява </w:t>
      </w:r>
      <w:r w:rsidR="009F7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містить </w:t>
      </w:r>
      <w:r w:rsidR="006136B1" w:rsidRPr="00C30CB1">
        <w:rPr>
          <w:rFonts w:ascii="Times New Roman" w:hAnsi="Times New Roman" w:cs="Times New Roman"/>
          <w:b/>
          <w:sz w:val="28"/>
          <w:szCs w:val="28"/>
          <w:lang w:val="uk-UA"/>
        </w:rPr>
        <w:t>кращі практичні рекомендації стосовн</w:t>
      </w:r>
      <w:r w:rsidR="00F34CA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FA1074" w:rsidRPr="00C30CB1">
        <w:rPr>
          <w:b/>
          <w:lang w:val="uk-UA"/>
        </w:rPr>
        <w:t xml:space="preserve"> </w:t>
      </w:r>
      <w:r w:rsidR="00FA1074"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застосування бедаквіліну та </w:t>
      </w:r>
      <w:proofErr w:type="spellStart"/>
      <w:r w:rsidR="00FA1074" w:rsidRPr="00C30CB1">
        <w:rPr>
          <w:rFonts w:ascii="Times New Roman" w:hAnsi="Times New Roman" w:cs="Times New Roman"/>
          <w:b/>
          <w:sz w:val="28"/>
          <w:szCs w:val="28"/>
          <w:lang w:val="uk-UA"/>
        </w:rPr>
        <w:t>деламаніду</w:t>
      </w:r>
      <w:proofErr w:type="spellEnd"/>
      <w:r w:rsidR="00FA1074"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поза їх зареєстрованими показаннями при лікуванні МР </w:t>
      </w:r>
      <w:r w:rsidR="006136B1" w:rsidRPr="00C30CB1">
        <w:rPr>
          <w:rFonts w:ascii="Times New Roman" w:hAnsi="Times New Roman" w:cs="Times New Roman"/>
          <w:b/>
          <w:sz w:val="28"/>
          <w:szCs w:val="28"/>
          <w:lang w:val="uk-UA"/>
        </w:rPr>
        <w:t>ТБ (включаючи пацієнтів з додатковою резистентністю до ліків).</w:t>
      </w:r>
    </w:p>
    <w:p w14:paraId="0DDCDC45" w14:textId="72A0D5A5" w:rsidR="003A4894" w:rsidRPr="00C30CB1" w:rsidRDefault="00FA1074" w:rsidP="006136B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Цей документ ВООЗ не повинен тлумачитися як </w:t>
      </w:r>
      <w:r w:rsidR="006136B1" w:rsidRPr="00C30CB1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екомендації ВООЗ щодо рутинного </w:t>
      </w:r>
      <w:r w:rsidR="006136B1" w:rsidRPr="00C30CB1">
        <w:rPr>
          <w:rFonts w:ascii="Times New Roman" w:hAnsi="Times New Roman" w:cs="Times New Roman"/>
          <w:b/>
          <w:sz w:val="28"/>
          <w:szCs w:val="28"/>
          <w:lang w:val="uk-UA"/>
        </w:rPr>
        <w:t>або широко</w:t>
      </w:r>
      <w:r w:rsidRPr="00C30CB1"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 w:rsidR="006136B1"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застосування бедаквіліну чи </w:t>
      </w:r>
      <w:proofErr w:type="spellStart"/>
      <w:r w:rsidR="006136B1" w:rsidRPr="00C30CB1">
        <w:rPr>
          <w:rFonts w:ascii="Times New Roman" w:hAnsi="Times New Roman" w:cs="Times New Roman"/>
          <w:b/>
          <w:sz w:val="28"/>
          <w:szCs w:val="28"/>
          <w:lang w:val="uk-UA"/>
        </w:rPr>
        <w:t>деламаніду</w:t>
      </w:r>
      <w:proofErr w:type="spellEnd"/>
      <w:r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поза їх зареєстрованими показаннями</w:t>
      </w:r>
      <w:r w:rsidR="006136B1"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навпаки, мета </w:t>
      </w:r>
      <w:r w:rsidR="008A0E71"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цього </w:t>
      </w:r>
      <w:r w:rsidR="006136B1" w:rsidRPr="00C30CB1">
        <w:rPr>
          <w:rFonts w:ascii="Times New Roman" w:hAnsi="Times New Roman" w:cs="Times New Roman"/>
          <w:b/>
          <w:sz w:val="28"/>
          <w:szCs w:val="28"/>
          <w:lang w:val="uk-UA"/>
        </w:rPr>
        <w:t>документа полягає в тому, щоб під</w:t>
      </w:r>
      <w:r w:rsidR="008A0E71" w:rsidRPr="00C30CB1">
        <w:rPr>
          <w:rFonts w:ascii="Times New Roman" w:hAnsi="Times New Roman" w:cs="Times New Roman"/>
          <w:b/>
          <w:sz w:val="28"/>
          <w:szCs w:val="28"/>
          <w:lang w:val="uk-UA"/>
        </w:rPr>
        <w:t>тримати країни та лікарів, коли вони прийматимуть рішення стосовно використання цих двох препаратів при призначенні індивідуальних схем лікування</w:t>
      </w:r>
      <w:r w:rsidR="006136B1"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Цей документ доповнює найновіші рекомендації ВООЗ </w:t>
      </w:r>
      <w:r w:rsidR="008A0E71"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лікування МРТБ (14) </w:t>
      </w:r>
      <w:r w:rsidR="00F34CA7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III</w:t>
      </w:r>
      <w:r w:rsidR="00F34CA7" w:rsidRPr="00C30CB1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 xml:space="preserve"> </w:t>
      </w:r>
      <w:r w:rsidR="008A0E71"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2016 р., і стане частиною консолідованих </w:t>
      </w:r>
      <w:r w:rsidR="006136B1"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0E71" w:rsidRPr="00C30CB1"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 ВООЗ щодо лікування МРТБ 2017, а також супровідного посібника ВООЗ</w:t>
      </w:r>
      <w:r w:rsidR="006136B1"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(15).</w:t>
      </w:r>
    </w:p>
    <w:p w14:paraId="6CFB0B72" w14:textId="77777777" w:rsidR="009D3CD7" w:rsidRDefault="009D3CD7" w:rsidP="006136B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5F30015" w14:textId="77777777" w:rsidR="00EF1C5C" w:rsidRDefault="00485883" w:rsidP="009D3CD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Спірні питання, які виникають під час </w:t>
      </w:r>
      <w:r w:rsidR="00EF1C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лікування МРТБ</w:t>
      </w:r>
      <w:r w:rsidR="009D3CD7" w:rsidRPr="009D3CD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та </w:t>
      </w:r>
      <w:r w:rsidR="00EF1C5C" w:rsidRPr="00EF1C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застосування лікарських засобів поза</w:t>
      </w:r>
      <w:r w:rsidR="00EF1C5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їх зареєстрованими показаннями</w:t>
      </w:r>
    </w:p>
    <w:p w14:paraId="06572696" w14:textId="0BD005D1" w:rsidR="009D3CD7" w:rsidRPr="009D3CD7" w:rsidRDefault="00EF1C5C" w:rsidP="009D3C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Лікування резистентного туберкульозу (РТБ) - особливо стійкого</w:t>
      </w:r>
      <w:r w:rsidR="009D3CD7"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9D3CD7" w:rsidRPr="009D3CD7">
        <w:rPr>
          <w:rFonts w:ascii="Times New Roman" w:hAnsi="Times New Roman" w:cs="Times New Roman"/>
          <w:sz w:val="28"/>
          <w:szCs w:val="28"/>
          <w:lang w:val="uk-UA"/>
        </w:rPr>
        <w:t>рифампіцину</w:t>
      </w:r>
      <w:proofErr w:type="spellEnd"/>
      <w:r w:rsidR="009D3CD7"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4B19">
        <w:rPr>
          <w:rFonts w:ascii="Times New Roman" w:hAnsi="Times New Roman" w:cs="Times New Roman"/>
          <w:sz w:val="28"/>
          <w:szCs w:val="28"/>
          <w:lang w:val="uk-UA"/>
        </w:rPr>
        <w:t xml:space="preserve">а також форм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ТБ з </w:t>
      </w:r>
      <w:r w:rsidRPr="00EF1C5C">
        <w:rPr>
          <w:rFonts w:ascii="Times New Roman" w:hAnsi="Times New Roman" w:cs="Times New Roman"/>
          <w:sz w:val="28"/>
          <w:szCs w:val="28"/>
          <w:lang w:val="uk-UA"/>
        </w:rPr>
        <w:t>множинною лікарською стійкістю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EF1C5C">
        <w:rPr>
          <w:rFonts w:ascii="Times New Roman" w:hAnsi="Times New Roman" w:cs="Times New Roman"/>
          <w:sz w:val="28"/>
          <w:szCs w:val="28"/>
          <w:lang w:val="uk-UA"/>
        </w:rPr>
        <w:t>туберкульозу з широкою лікарською стійкістю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CD7" w:rsidRPr="009D3CD7">
        <w:rPr>
          <w:rFonts w:ascii="Times New Roman" w:hAnsi="Times New Roman" w:cs="Times New Roman"/>
          <w:sz w:val="28"/>
          <w:szCs w:val="28"/>
          <w:lang w:val="uk-UA"/>
        </w:rPr>
        <w:t>- представля</w:t>
      </w:r>
      <w:r>
        <w:rPr>
          <w:rFonts w:ascii="Times New Roman" w:hAnsi="Times New Roman" w:cs="Times New Roman"/>
          <w:sz w:val="28"/>
          <w:szCs w:val="28"/>
          <w:lang w:val="uk-UA"/>
        </w:rPr>
        <w:t>є ряд проблем для клініцистів і національних</w:t>
      </w:r>
      <w:r w:rsidR="009D3CD7"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з туберкульозу (14).</w:t>
      </w:r>
    </w:p>
    <w:p w14:paraId="586FECD5" w14:textId="3A97A46E" w:rsidR="009D3CD7" w:rsidRPr="009D3CD7" w:rsidRDefault="00914B19" w:rsidP="009D3C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Обмежений вибір</w:t>
      </w:r>
      <w:r w:rsidR="009D3CD7"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 лікарських засобів, доступних для лікування </w:t>
      </w:r>
      <w:r w:rsidR="00107A1F">
        <w:rPr>
          <w:rFonts w:ascii="Times New Roman" w:hAnsi="Times New Roman" w:cs="Times New Roman"/>
          <w:sz w:val="28"/>
          <w:szCs w:val="28"/>
          <w:lang w:val="uk-UA"/>
        </w:rPr>
        <w:t>РТБ  та той факт,</w:t>
      </w:r>
      <w:r w:rsidR="00EF1C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CD7"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07A1F">
        <w:rPr>
          <w:rFonts w:ascii="Times New Roman" w:hAnsi="Times New Roman" w:cs="Times New Roman"/>
          <w:sz w:val="28"/>
          <w:szCs w:val="28"/>
          <w:lang w:val="uk-UA"/>
        </w:rPr>
        <w:t>це захворювання загрожує</w:t>
      </w:r>
      <w:r w:rsidR="009D3CD7"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 життю</w:t>
      </w:r>
      <w:r w:rsidR="00107A1F">
        <w:rPr>
          <w:rFonts w:ascii="Times New Roman" w:hAnsi="Times New Roman" w:cs="Times New Roman"/>
          <w:sz w:val="28"/>
          <w:szCs w:val="28"/>
          <w:lang w:val="uk-UA"/>
        </w:rPr>
        <w:t>, часто</w:t>
      </w:r>
      <w:r w:rsidR="00107A1F" w:rsidRPr="00107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A1F">
        <w:rPr>
          <w:rFonts w:ascii="Times New Roman" w:hAnsi="Times New Roman" w:cs="Times New Roman"/>
          <w:sz w:val="28"/>
          <w:szCs w:val="28"/>
          <w:lang w:val="uk-UA"/>
        </w:rPr>
        <w:t xml:space="preserve">потребує </w:t>
      </w:r>
      <w:r w:rsidR="00107A1F" w:rsidRPr="00107A1F">
        <w:rPr>
          <w:rFonts w:ascii="Times New Roman" w:hAnsi="Times New Roman" w:cs="Times New Roman"/>
          <w:sz w:val="28"/>
          <w:szCs w:val="28"/>
          <w:lang w:val="uk-UA"/>
        </w:rPr>
        <w:t>застос</w:t>
      </w:r>
      <w:r w:rsidR="0052799D">
        <w:rPr>
          <w:rFonts w:ascii="Times New Roman" w:hAnsi="Times New Roman" w:cs="Times New Roman"/>
          <w:sz w:val="28"/>
          <w:szCs w:val="28"/>
          <w:lang w:val="uk-UA"/>
        </w:rPr>
        <w:t xml:space="preserve">ування </w:t>
      </w:r>
      <w:r w:rsidR="00107A1F">
        <w:rPr>
          <w:rFonts w:ascii="Times New Roman" w:hAnsi="Times New Roman" w:cs="Times New Roman"/>
          <w:sz w:val="28"/>
          <w:szCs w:val="28"/>
          <w:lang w:val="uk-UA"/>
        </w:rPr>
        <w:t xml:space="preserve"> препаратів</w:t>
      </w:r>
      <w:r w:rsidR="00107A1F" w:rsidRPr="00107A1F">
        <w:rPr>
          <w:rFonts w:ascii="Times New Roman" w:hAnsi="Times New Roman" w:cs="Times New Roman"/>
          <w:sz w:val="28"/>
          <w:szCs w:val="28"/>
          <w:lang w:val="uk-UA"/>
        </w:rPr>
        <w:t xml:space="preserve"> поза їх зареєстрованими показаннями</w:t>
      </w:r>
      <w:r w:rsidR="00107A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це, в основному, відбувається </w:t>
      </w:r>
      <w:r w:rsidR="00107A1F">
        <w:rPr>
          <w:rFonts w:ascii="Times New Roman" w:hAnsi="Times New Roman" w:cs="Times New Roman"/>
          <w:sz w:val="28"/>
          <w:szCs w:val="28"/>
          <w:lang w:val="uk-UA"/>
        </w:rPr>
        <w:t xml:space="preserve">у наступних двох </w:t>
      </w:r>
      <w:r w:rsidR="00F34CA7">
        <w:rPr>
          <w:rFonts w:ascii="Times New Roman" w:hAnsi="Times New Roman" w:cs="Times New Roman"/>
          <w:sz w:val="28"/>
          <w:szCs w:val="28"/>
          <w:lang w:val="uk-UA"/>
        </w:rPr>
        <w:t>ситуаціях</w:t>
      </w:r>
      <w:r w:rsidR="00F34CA7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IV</w:t>
      </w:r>
      <w:r w:rsidR="009D3CD7" w:rsidRPr="009D3C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8DD84E3" w14:textId="02906FD7" w:rsidR="009D3CD7" w:rsidRPr="009D3CD7" w:rsidRDefault="009D3CD7" w:rsidP="00A77BFD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9D3CD7">
        <w:rPr>
          <w:rFonts w:ascii="Times New Roman" w:hAnsi="Times New Roman" w:cs="Times New Roman"/>
          <w:sz w:val="28"/>
          <w:szCs w:val="28"/>
          <w:lang w:val="uk-UA"/>
        </w:rPr>
        <w:t>- "</w:t>
      </w:r>
      <w:r w:rsidR="00AB35E4" w:rsidRPr="00AB35E4">
        <w:t xml:space="preserve"> </w:t>
      </w:r>
      <w:r w:rsidR="00AB35E4" w:rsidRPr="00AB35E4">
        <w:rPr>
          <w:rFonts w:ascii="Times New Roman" w:hAnsi="Times New Roman" w:cs="Times New Roman"/>
          <w:sz w:val="28"/>
          <w:szCs w:val="28"/>
          <w:lang w:val="uk-UA"/>
        </w:rPr>
        <w:t>перепро</w:t>
      </w:r>
      <w:r w:rsidR="00AB35E4">
        <w:rPr>
          <w:rFonts w:ascii="Times New Roman" w:hAnsi="Times New Roman" w:cs="Times New Roman"/>
          <w:sz w:val="28"/>
          <w:szCs w:val="28"/>
          <w:lang w:val="uk-UA"/>
        </w:rPr>
        <w:t>філювання" лікарського засобу</w:t>
      </w:r>
      <w:r w:rsidR="00F83247">
        <w:rPr>
          <w:rFonts w:ascii="Times New Roman" w:hAnsi="Times New Roman" w:cs="Times New Roman"/>
          <w:sz w:val="28"/>
          <w:szCs w:val="28"/>
          <w:lang w:val="uk-UA"/>
        </w:rPr>
        <w:t>, зареєстрованого</w:t>
      </w:r>
      <w:r w:rsidR="00914B19">
        <w:rPr>
          <w:rFonts w:ascii="Times New Roman" w:hAnsi="Times New Roman" w:cs="Times New Roman"/>
          <w:sz w:val="28"/>
          <w:szCs w:val="28"/>
          <w:lang w:val="uk-UA"/>
        </w:rPr>
        <w:t xml:space="preserve"> для лікування </w:t>
      </w:r>
      <w:r w:rsidR="00F83247">
        <w:rPr>
          <w:rFonts w:ascii="Times New Roman" w:hAnsi="Times New Roman" w:cs="Times New Roman"/>
          <w:sz w:val="28"/>
          <w:szCs w:val="28"/>
          <w:lang w:val="uk-UA"/>
        </w:rPr>
        <w:t xml:space="preserve">іншого </w:t>
      </w:r>
      <w:r w:rsidR="00914B19">
        <w:rPr>
          <w:rFonts w:ascii="Times New Roman" w:hAnsi="Times New Roman" w:cs="Times New Roman"/>
          <w:sz w:val="28"/>
          <w:szCs w:val="28"/>
          <w:lang w:val="uk-UA"/>
        </w:rPr>
        <w:t>захворювання/стану</w:t>
      </w:r>
      <w:r w:rsidR="00F83247">
        <w:rPr>
          <w:rFonts w:ascii="Times New Roman" w:hAnsi="Times New Roman" w:cs="Times New Roman"/>
          <w:sz w:val="28"/>
          <w:szCs w:val="28"/>
          <w:lang w:val="uk-UA"/>
        </w:rPr>
        <w:t xml:space="preserve"> (не 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>туберкульозу</w:t>
      </w:r>
      <w:r w:rsidR="00F8324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>. Таким чином,</w:t>
      </w:r>
      <w:r w:rsidR="00A77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3CD7">
        <w:rPr>
          <w:rFonts w:ascii="Times New Roman" w:hAnsi="Times New Roman" w:cs="Times New Roman"/>
          <w:sz w:val="28"/>
          <w:szCs w:val="28"/>
          <w:lang w:val="uk-UA"/>
        </w:rPr>
        <w:t>фторхінолони</w:t>
      </w:r>
      <w:proofErr w:type="spellEnd"/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D3CD7">
        <w:rPr>
          <w:rFonts w:ascii="Times New Roman" w:hAnsi="Times New Roman" w:cs="Times New Roman"/>
          <w:sz w:val="28"/>
          <w:szCs w:val="28"/>
          <w:lang w:val="uk-UA"/>
        </w:rPr>
        <w:t>канаміцин</w:t>
      </w:r>
      <w:proofErr w:type="spellEnd"/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D3CD7">
        <w:rPr>
          <w:rFonts w:ascii="Times New Roman" w:hAnsi="Times New Roman" w:cs="Times New Roman"/>
          <w:sz w:val="28"/>
          <w:szCs w:val="28"/>
          <w:lang w:val="uk-UA"/>
        </w:rPr>
        <w:t>амікацин</w:t>
      </w:r>
      <w:proofErr w:type="spellEnd"/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D3CD7">
        <w:rPr>
          <w:rFonts w:ascii="Times New Roman" w:hAnsi="Times New Roman" w:cs="Times New Roman"/>
          <w:sz w:val="28"/>
          <w:szCs w:val="28"/>
          <w:lang w:val="uk-UA"/>
        </w:rPr>
        <w:t>клофаз</w:t>
      </w:r>
      <w:r w:rsidR="00D336D6">
        <w:rPr>
          <w:rFonts w:ascii="Times New Roman" w:hAnsi="Times New Roman" w:cs="Times New Roman"/>
          <w:sz w:val="28"/>
          <w:szCs w:val="28"/>
          <w:lang w:val="uk-UA"/>
        </w:rPr>
        <w:t>имін</w:t>
      </w:r>
      <w:proofErr w:type="spellEnd"/>
      <w:r w:rsidR="00D336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336D6">
        <w:rPr>
          <w:rFonts w:ascii="Times New Roman" w:hAnsi="Times New Roman" w:cs="Times New Roman"/>
          <w:sz w:val="28"/>
          <w:szCs w:val="28"/>
          <w:lang w:val="uk-UA"/>
        </w:rPr>
        <w:t>лінезолід</w:t>
      </w:r>
      <w:proofErr w:type="spellEnd"/>
      <w:r w:rsidR="00D336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336D6">
        <w:rPr>
          <w:rFonts w:ascii="Times New Roman" w:hAnsi="Times New Roman" w:cs="Times New Roman"/>
          <w:sz w:val="28"/>
          <w:szCs w:val="28"/>
          <w:lang w:val="uk-UA"/>
        </w:rPr>
        <w:t>карбапенеми</w:t>
      </w:r>
      <w:proofErr w:type="spellEnd"/>
      <w:r w:rsidR="00D336D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D336D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B5196">
        <w:rPr>
          <w:rFonts w:ascii="Times New Roman" w:hAnsi="Times New Roman" w:cs="Times New Roman"/>
          <w:sz w:val="28"/>
          <w:szCs w:val="28"/>
          <w:lang w:val="uk-UA"/>
        </w:rPr>
        <w:t>лавуланова</w:t>
      </w:r>
      <w:proofErr w:type="spellEnd"/>
      <w:r w:rsidR="003B5196">
        <w:rPr>
          <w:rFonts w:ascii="Times New Roman" w:hAnsi="Times New Roman" w:cs="Times New Roman"/>
          <w:sz w:val="28"/>
          <w:szCs w:val="28"/>
          <w:lang w:val="uk-UA"/>
        </w:rPr>
        <w:t xml:space="preserve"> кислота були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24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3B5196">
        <w:rPr>
          <w:rFonts w:ascii="Times New Roman" w:hAnsi="Times New Roman" w:cs="Times New Roman"/>
          <w:sz w:val="28"/>
          <w:szCs w:val="28"/>
          <w:lang w:val="uk-UA"/>
        </w:rPr>
        <w:t>перепрофільовані</w:t>
      </w:r>
      <w:r w:rsidR="003B5196" w:rsidRPr="003B5196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3B5196">
        <w:rPr>
          <w:rFonts w:ascii="Times New Roman" w:hAnsi="Times New Roman" w:cs="Times New Roman"/>
          <w:sz w:val="28"/>
          <w:szCs w:val="28"/>
          <w:lang w:val="uk-UA"/>
        </w:rPr>
        <w:t>для лікування</w:t>
      </w:r>
      <w:r w:rsidR="00F83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>лікарс</w:t>
      </w:r>
      <w:r w:rsidR="003B5196">
        <w:rPr>
          <w:rFonts w:ascii="Times New Roman" w:hAnsi="Times New Roman" w:cs="Times New Roman"/>
          <w:sz w:val="28"/>
          <w:szCs w:val="28"/>
          <w:lang w:val="uk-UA"/>
        </w:rPr>
        <w:t xml:space="preserve">ько-стійкого 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>туберкульозу;</w:t>
      </w:r>
    </w:p>
    <w:p w14:paraId="59EC0407" w14:textId="1BBA529B" w:rsidR="004412B8" w:rsidRDefault="003B5196" w:rsidP="0071339A">
      <w:pPr>
        <w:pBdr>
          <w:bottom w:val="single" w:sz="6" w:space="1" w:color="auto"/>
        </w:pBd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застосув</w:t>
      </w:r>
      <w:r w:rsidR="009D3CD7" w:rsidRPr="009D3CD7">
        <w:rPr>
          <w:rFonts w:ascii="Times New Roman" w:hAnsi="Times New Roman" w:cs="Times New Roman"/>
          <w:sz w:val="28"/>
          <w:szCs w:val="28"/>
          <w:lang w:val="uk-UA"/>
        </w:rPr>
        <w:t>ання зареєстрованого прот</w:t>
      </w:r>
      <w:r w:rsidR="000E7486">
        <w:rPr>
          <w:rFonts w:ascii="Times New Roman" w:hAnsi="Times New Roman" w:cs="Times New Roman"/>
          <w:sz w:val="28"/>
          <w:szCs w:val="28"/>
          <w:lang w:val="uk-UA"/>
        </w:rPr>
        <w:t xml:space="preserve">итуберкульозного препарату </w:t>
      </w:r>
      <w:r w:rsidR="001E0445">
        <w:rPr>
          <w:rFonts w:ascii="Times New Roman" w:hAnsi="Times New Roman" w:cs="Times New Roman"/>
          <w:sz w:val="28"/>
          <w:szCs w:val="28"/>
          <w:lang w:val="uk-UA"/>
        </w:rPr>
        <w:t>для вікової</w:t>
      </w:r>
      <w:r w:rsidR="009D3CD7"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 групі,</w:t>
      </w:r>
      <w:r w:rsidR="001E0445">
        <w:rPr>
          <w:rFonts w:ascii="Times New Roman" w:hAnsi="Times New Roman" w:cs="Times New Roman"/>
          <w:sz w:val="28"/>
          <w:szCs w:val="28"/>
          <w:lang w:val="uk-UA"/>
        </w:rPr>
        <w:t xml:space="preserve">  у дозуванні</w:t>
      </w:r>
      <w:r w:rsidR="0071339A">
        <w:rPr>
          <w:rFonts w:ascii="Times New Roman" w:hAnsi="Times New Roman" w:cs="Times New Roman"/>
          <w:sz w:val="28"/>
          <w:szCs w:val="28"/>
          <w:lang w:val="uk-UA"/>
        </w:rPr>
        <w:t xml:space="preserve"> та з рекомендаціями тривалості та </w:t>
      </w:r>
      <w:r w:rsidR="000E7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39A">
        <w:rPr>
          <w:rFonts w:ascii="Times New Roman" w:hAnsi="Times New Roman" w:cs="Times New Roman"/>
          <w:sz w:val="28"/>
          <w:szCs w:val="28"/>
          <w:lang w:val="uk-UA"/>
        </w:rPr>
        <w:t>способу застосування, відмінними від тих,</w:t>
      </w:r>
      <w:r w:rsidR="0071339A"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 що зазначені й</w:t>
      </w:r>
      <w:r w:rsidR="0071339A">
        <w:rPr>
          <w:rFonts w:ascii="Times New Roman" w:hAnsi="Times New Roman" w:cs="Times New Roman"/>
          <w:sz w:val="28"/>
          <w:szCs w:val="28"/>
          <w:lang w:val="uk-UA"/>
        </w:rPr>
        <w:t>ого виробником та</w:t>
      </w:r>
    </w:p>
    <w:p w14:paraId="026EF2B9" w14:textId="1EFFE162" w:rsidR="001E0445" w:rsidRPr="00A95C63" w:rsidRDefault="00F34CA7" w:rsidP="001E04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contextualSpacing/>
        <w:rPr>
          <w:rFonts w:ascii="MS Mincho" w:eastAsia="MS Mincho" w:hAnsi="MS Mincho" w:cs="MS Mincho"/>
          <w:color w:val="000000"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A95C6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hyperlink r:id="rId9" w:history="1">
        <w:r w:rsidR="009F7819" w:rsidRPr="00F34CA7">
          <w:rPr>
            <w:rStyle w:val="ab"/>
            <w:rFonts w:ascii="Times" w:hAnsi="Times" w:cs="Times"/>
            <w:sz w:val="18"/>
            <w:szCs w:val="18"/>
          </w:rPr>
          <w:t>http</w:t>
        </w:r>
        <w:r w:rsidR="009F7819" w:rsidRPr="00F34CA7">
          <w:rPr>
            <w:rStyle w:val="ab"/>
            <w:rFonts w:ascii="Times" w:hAnsi="Times" w:cs="Times"/>
            <w:sz w:val="18"/>
            <w:szCs w:val="18"/>
            <w:lang w:val="uk-UA"/>
          </w:rPr>
          <w:t>://</w:t>
        </w:r>
        <w:r w:rsidR="009F7819" w:rsidRPr="00F34CA7">
          <w:rPr>
            <w:rStyle w:val="ab"/>
            <w:rFonts w:ascii="Times" w:hAnsi="Times" w:cs="Times"/>
            <w:sz w:val="18"/>
            <w:szCs w:val="18"/>
          </w:rPr>
          <w:t>apps</w:t>
        </w:r>
        <w:r w:rsidR="009F7819" w:rsidRPr="00F34CA7">
          <w:rPr>
            <w:rStyle w:val="ab"/>
            <w:rFonts w:ascii="Times" w:hAnsi="Times" w:cs="Times"/>
            <w:sz w:val="18"/>
            <w:szCs w:val="18"/>
            <w:lang w:val="uk-UA"/>
          </w:rPr>
          <w:t>.</w:t>
        </w:r>
        <w:r w:rsidR="009F7819" w:rsidRPr="00F34CA7">
          <w:rPr>
            <w:rStyle w:val="ab"/>
            <w:rFonts w:ascii="Times" w:hAnsi="Times" w:cs="Times"/>
            <w:sz w:val="18"/>
            <w:szCs w:val="18"/>
          </w:rPr>
          <w:t>who</w:t>
        </w:r>
        <w:r w:rsidR="009F7819" w:rsidRPr="00F34CA7">
          <w:rPr>
            <w:rStyle w:val="ab"/>
            <w:rFonts w:ascii="Times" w:hAnsi="Times" w:cs="Times"/>
            <w:sz w:val="18"/>
            <w:szCs w:val="18"/>
            <w:lang w:val="uk-UA"/>
          </w:rPr>
          <w:t>.</w:t>
        </w:r>
        <w:r w:rsidR="009F7819" w:rsidRPr="00F34CA7">
          <w:rPr>
            <w:rStyle w:val="ab"/>
            <w:rFonts w:ascii="Times" w:hAnsi="Times" w:cs="Times"/>
            <w:sz w:val="18"/>
            <w:szCs w:val="18"/>
          </w:rPr>
          <w:t>int</w:t>
        </w:r>
        <w:r w:rsidR="009F7819" w:rsidRPr="00F34CA7">
          <w:rPr>
            <w:rStyle w:val="ab"/>
            <w:rFonts w:ascii="Times" w:hAnsi="Times" w:cs="Times"/>
            <w:sz w:val="18"/>
            <w:szCs w:val="18"/>
            <w:lang w:val="uk-UA"/>
          </w:rPr>
          <w:t>/</w:t>
        </w:r>
        <w:r w:rsidR="009F7819" w:rsidRPr="00F34CA7">
          <w:rPr>
            <w:rStyle w:val="ab"/>
            <w:rFonts w:ascii="Times" w:hAnsi="Times" w:cs="Times"/>
            <w:sz w:val="18"/>
            <w:szCs w:val="18"/>
          </w:rPr>
          <w:t>iris</w:t>
        </w:r>
        <w:r w:rsidR="009F7819" w:rsidRPr="00F34CA7">
          <w:rPr>
            <w:rStyle w:val="ab"/>
            <w:rFonts w:ascii="Times" w:hAnsi="Times" w:cs="Times"/>
            <w:sz w:val="18"/>
            <w:szCs w:val="18"/>
            <w:lang w:val="uk-UA"/>
          </w:rPr>
          <w:t>/</w:t>
        </w:r>
        <w:r w:rsidR="009F7819" w:rsidRPr="00F34CA7">
          <w:rPr>
            <w:rStyle w:val="ab"/>
            <w:rFonts w:ascii="Times" w:hAnsi="Times" w:cs="Times"/>
            <w:sz w:val="18"/>
            <w:szCs w:val="18"/>
          </w:rPr>
          <w:t>bitstream</w:t>
        </w:r>
        <w:r w:rsidR="009F7819" w:rsidRPr="00F34CA7">
          <w:rPr>
            <w:rStyle w:val="ab"/>
            <w:rFonts w:ascii="Times" w:hAnsi="Times" w:cs="Times"/>
            <w:sz w:val="18"/>
            <w:szCs w:val="18"/>
            <w:lang w:val="uk-UA"/>
          </w:rPr>
          <w:t>/10665/250125/1/9789241549639-</w:t>
        </w:r>
        <w:r w:rsidR="009F7819" w:rsidRPr="00F34CA7">
          <w:rPr>
            <w:rStyle w:val="ab"/>
            <w:rFonts w:ascii="Times" w:hAnsi="Times" w:cs="Times"/>
            <w:sz w:val="18"/>
            <w:szCs w:val="18"/>
          </w:rPr>
          <w:t>eng</w:t>
        </w:r>
        <w:r w:rsidR="009F7819" w:rsidRPr="00F34CA7">
          <w:rPr>
            <w:rStyle w:val="ab"/>
            <w:rFonts w:ascii="Times" w:hAnsi="Times" w:cs="Times"/>
            <w:sz w:val="18"/>
            <w:szCs w:val="18"/>
            <w:lang w:val="uk-UA"/>
          </w:rPr>
          <w:t>.</w:t>
        </w:r>
        <w:r w:rsidR="009F7819" w:rsidRPr="00F34CA7">
          <w:rPr>
            <w:rStyle w:val="ab"/>
            <w:rFonts w:ascii="Times" w:hAnsi="Times" w:cs="Times"/>
            <w:sz w:val="18"/>
            <w:szCs w:val="18"/>
          </w:rPr>
          <w:t>pdf</w:t>
        </w:r>
        <w:r w:rsidR="009F7819" w:rsidRPr="00F34CA7">
          <w:rPr>
            <w:rStyle w:val="ab"/>
            <w:rFonts w:ascii="Times" w:hAnsi="Times" w:cs="Times"/>
            <w:sz w:val="18"/>
            <w:szCs w:val="18"/>
            <w:lang w:val="uk-UA"/>
          </w:rPr>
          <w:t xml:space="preserve"> </w:t>
        </w:r>
        <w:r w:rsidR="009F7819" w:rsidRPr="00F34CA7">
          <w:rPr>
            <w:rStyle w:val="ab"/>
            <w:rFonts w:ascii="MS Mincho" w:eastAsia="MS Mincho" w:hAnsi="MS Mincho" w:cs="MS Mincho"/>
            <w:sz w:val="18"/>
            <w:szCs w:val="18"/>
            <w:lang w:val="uk-UA"/>
          </w:rPr>
          <w:t> </w:t>
        </w:r>
      </w:hyperlink>
    </w:p>
    <w:p w14:paraId="26CE332D" w14:textId="247FC804" w:rsidR="001E0445" w:rsidRPr="00A95C63" w:rsidRDefault="00F34CA7" w:rsidP="001E04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contextualSpacing/>
        <w:rPr>
          <w:rFonts w:ascii="MS Mincho" w:eastAsia="MS Mincho" w:hAnsi="MS Mincho" w:cs="MS Mincho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lastRenderedPageBreak/>
        <w:t>IV</w:t>
      </w:r>
      <w:r w:rsidR="001E0445" w:rsidRPr="00A95C6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proofErr w:type="spellStart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>Ці</w:t>
      </w:r>
      <w:proofErr w:type="spellEnd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>ситуації</w:t>
      </w:r>
      <w:proofErr w:type="spellEnd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>можуть</w:t>
      </w:r>
      <w:proofErr w:type="spellEnd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>співіснувати</w:t>
      </w:r>
      <w:proofErr w:type="spellEnd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>наприклад</w:t>
      </w:r>
      <w:proofErr w:type="spellEnd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 xml:space="preserve">, коли </w:t>
      </w:r>
      <w:proofErr w:type="spellStart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>фторхінолони</w:t>
      </w:r>
      <w:proofErr w:type="spellEnd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>використовуються</w:t>
      </w:r>
      <w:proofErr w:type="spellEnd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 xml:space="preserve"> у "</w:t>
      </w:r>
      <w:proofErr w:type="spellStart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>високих</w:t>
      </w:r>
      <w:proofErr w:type="spellEnd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 xml:space="preserve"> дозах" </w:t>
      </w:r>
      <w:proofErr w:type="spellStart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>або</w:t>
      </w:r>
      <w:proofErr w:type="spellEnd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>протягом</w:t>
      </w:r>
      <w:proofErr w:type="spellEnd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>багатьох</w:t>
      </w:r>
      <w:proofErr w:type="spellEnd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="001E0445" w:rsidRPr="00A95C63">
        <w:rPr>
          <w:rFonts w:ascii="Times New Roman" w:hAnsi="Times New Roman" w:cs="Times New Roman"/>
          <w:sz w:val="28"/>
          <w:szCs w:val="28"/>
          <w:vertAlign w:val="superscript"/>
        </w:rPr>
        <w:t>місяців</w:t>
      </w:r>
      <w:proofErr w:type="spellEnd"/>
    </w:p>
    <w:p w14:paraId="12D6D9A9" w14:textId="7ED25B3F" w:rsidR="009F7819" w:rsidRPr="00A95C63" w:rsidRDefault="009F7819" w:rsidP="000E748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14:paraId="4AD0D589" w14:textId="27A8D495" w:rsidR="001E0445" w:rsidRDefault="001E0445" w:rsidP="009D3C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схвалених відповідним регулюючим органом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679E7C" w14:textId="489CBC50" w:rsidR="009D3CD7" w:rsidRPr="001E0445" w:rsidRDefault="009D3CD7" w:rsidP="009D3C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• Поточні рекомендації ВООЗ щодо лікування </w:t>
      </w:r>
      <w:r w:rsidR="00C51A86" w:rsidRPr="00C51A86">
        <w:rPr>
          <w:rFonts w:ascii="Times New Roman" w:hAnsi="Times New Roman" w:cs="Times New Roman"/>
          <w:sz w:val="28"/>
          <w:szCs w:val="28"/>
          <w:lang w:val="uk-UA"/>
        </w:rPr>
        <w:t>лікарсько-стійкого туберкульозу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>, включають в себе використання</w:t>
      </w:r>
      <w:r w:rsidR="00D64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A86">
        <w:rPr>
          <w:rFonts w:ascii="Times New Roman" w:hAnsi="Times New Roman" w:cs="Times New Roman"/>
          <w:sz w:val="28"/>
          <w:szCs w:val="28"/>
          <w:lang w:val="uk-UA"/>
        </w:rPr>
        <w:t xml:space="preserve">лікарських препаратів зареєстрованих 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51A86">
        <w:rPr>
          <w:rFonts w:ascii="Times New Roman" w:hAnsi="Times New Roman" w:cs="Times New Roman"/>
          <w:sz w:val="28"/>
          <w:szCs w:val="28"/>
          <w:lang w:val="uk-UA"/>
        </w:rPr>
        <w:t xml:space="preserve">лікування </w:t>
      </w:r>
      <w:r w:rsidR="00D64546">
        <w:rPr>
          <w:rFonts w:ascii="Times New Roman" w:hAnsi="Times New Roman" w:cs="Times New Roman"/>
          <w:sz w:val="28"/>
          <w:szCs w:val="28"/>
          <w:lang w:val="uk-UA"/>
        </w:rPr>
        <w:t>лікарсько-стійкого ТБ</w:t>
      </w:r>
      <w:r w:rsidR="00C51A86">
        <w:rPr>
          <w:rFonts w:ascii="Times New Roman" w:hAnsi="Times New Roman" w:cs="Times New Roman"/>
          <w:sz w:val="28"/>
          <w:szCs w:val="28"/>
          <w:lang w:val="uk-UA"/>
        </w:rPr>
        <w:t xml:space="preserve"> (включаючи відібрані препарати для лікування ТБ першої лінії), а також 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ті, що </w:t>
      </w:r>
      <w:r w:rsidR="00CA0486">
        <w:rPr>
          <w:rFonts w:ascii="Times New Roman" w:hAnsi="Times New Roman" w:cs="Times New Roman"/>
          <w:sz w:val="28"/>
          <w:szCs w:val="28"/>
          <w:lang w:val="uk-UA"/>
        </w:rPr>
        <w:t>були перепрофільовані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 для застосування в режимах лікування туберкульозу (4), (7), (9), (14)</w:t>
      </w:r>
      <w:r w:rsidRPr="00F75AB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CA0486" w:rsidRPr="004412B8">
        <w:rPr>
          <w:rFonts w:ascii="Times New Roman" w:hAnsi="Times New Roman" w:cs="Times New Roman"/>
          <w:b/>
          <w:sz w:val="32"/>
          <w:szCs w:val="32"/>
          <w:vertAlign w:val="superscript"/>
          <w:lang w:val="uk-UA"/>
        </w:rPr>
        <w:t>v</w:t>
      </w:r>
      <w:r w:rsidR="001E04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37DBA1" w14:textId="0AE36301" w:rsidR="009D3CD7" w:rsidRPr="009D3CD7" w:rsidRDefault="009D3CD7" w:rsidP="009D3C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D6454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64546"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останні роки </w:t>
      </w:r>
      <w:r w:rsidR="0071339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1339A" w:rsidRPr="00A95C63">
        <w:rPr>
          <w:rFonts w:ascii="Times New Roman" w:hAnsi="Times New Roman" w:cs="Times New Roman"/>
          <w:sz w:val="28"/>
          <w:szCs w:val="28"/>
        </w:rPr>
        <w:t>’</w:t>
      </w:r>
      <w:r w:rsidR="0071339A">
        <w:rPr>
          <w:rFonts w:ascii="Times New Roman" w:hAnsi="Times New Roman" w:cs="Times New Roman"/>
          <w:sz w:val="28"/>
          <w:szCs w:val="28"/>
          <w:lang w:val="uk-UA"/>
        </w:rPr>
        <w:t>явилося більше якісних доказів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546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ефективності та безпеки </w:t>
      </w:r>
      <w:r w:rsidR="00D64546">
        <w:rPr>
          <w:rFonts w:ascii="Times New Roman" w:hAnsi="Times New Roman" w:cs="Times New Roman"/>
          <w:sz w:val="28"/>
          <w:szCs w:val="28"/>
          <w:lang w:val="uk-UA"/>
        </w:rPr>
        <w:t>перепрофільованих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 ліків</w:t>
      </w:r>
      <w:r w:rsidR="00D64546">
        <w:rPr>
          <w:rFonts w:ascii="Times New Roman" w:hAnsi="Times New Roman" w:cs="Times New Roman"/>
          <w:sz w:val="28"/>
          <w:szCs w:val="28"/>
          <w:lang w:val="uk-UA"/>
        </w:rPr>
        <w:t>, хоча во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6454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 і надалі сильно залежить від даних</w:t>
      </w:r>
      <w:r w:rsidR="00D64546">
        <w:rPr>
          <w:rFonts w:ascii="Times New Roman" w:hAnsi="Times New Roman" w:cs="Times New Roman"/>
          <w:sz w:val="28"/>
          <w:szCs w:val="28"/>
          <w:lang w:val="uk-UA"/>
        </w:rPr>
        <w:t xml:space="preserve"> спостережень (16), (17), (18).</w:t>
      </w:r>
      <w:r w:rsidR="00D64546" w:rsidRPr="00D64546">
        <w:rPr>
          <w:rFonts w:ascii="Times New Roman" w:hAnsi="Times New Roman" w:cs="Times New Roman"/>
          <w:sz w:val="28"/>
          <w:szCs w:val="28"/>
        </w:rPr>
        <w:t xml:space="preserve"> </w:t>
      </w:r>
      <w:r w:rsidR="00D64546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D64546">
        <w:rPr>
          <w:rFonts w:ascii="Times New Roman" w:hAnsi="Times New Roman" w:cs="Times New Roman"/>
          <w:sz w:val="28"/>
          <w:szCs w:val="28"/>
          <w:lang w:val="uk-UA"/>
        </w:rPr>
        <w:t>ідомості</w:t>
      </w:r>
      <w:proofErr w:type="spellEnd"/>
      <w:r w:rsidR="00D64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>про безпеку б</w:t>
      </w:r>
      <w:r w:rsidR="00F75AB3">
        <w:rPr>
          <w:rFonts w:ascii="Times New Roman" w:hAnsi="Times New Roman" w:cs="Times New Roman"/>
          <w:sz w:val="28"/>
          <w:szCs w:val="28"/>
          <w:lang w:val="uk-UA"/>
        </w:rPr>
        <w:t>ед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>аквілін</w:t>
      </w:r>
      <w:r w:rsidR="00583B8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9D3CD7">
        <w:rPr>
          <w:rFonts w:ascii="Times New Roman" w:hAnsi="Times New Roman" w:cs="Times New Roman"/>
          <w:sz w:val="28"/>
          <w:szCs w:val="28"/>
          <w:lang w:val="uk-UA"/>
        </w:rPr>
        <w:t>деламаніда</w:t>
      </w:r>
      <w:proofErr w:type="spellEnd"/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 залишаютьс</w:t>
      </w:r>
      <w:r w:rsidR="0071339A">
        <w:rPr>
          <w:rFonts w:ascii="Times New Roman" w:hAnsi="Times New Roman" w:cs="Times New Roman"/>
          <w:sz w:val="28"/>
          <w:szCs w:val="28"/>
          <w:lang w:val="uk-UA"/>
        </w:rPr>
        <w:t>я неповними через бр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>ак</w:t>
      </w:r>
      <w:r w:rsidR="00D6454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відповідних 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>даних.</w:t>
      </w:r>
    </w:p>
    <w:p w14:paraId="13F18E80" w14:textId="229919FC" w:rsidR="009D3CD7" w:rsidRDefault="009D3CD7" w:rsidP="00642F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• Враховуючи </w:t>
      </w:r>
      <w:proofErr w:type="spellStart"/>
      <w:r w:rsidR="00D64546" w:rsidRPr="00D64546">
        <w:rPr>
          <w:rFonts w:ascii="Times New Roman" w:hAnsi="Times New Roman" w:cs="Times New Roman"/>
          <w:sz w:val="28"/>
          <w:szCs w:val="28"/>
          <w:lang w:val="uk-UA"/>
        </w:rPr>
        <w:t>життєзберігаючий</w:t>
      </w:r>
      <w:proofErr w:type="spellEnd"/>
      <w:r w:rsidR="00D64546" w:rsidRPr="00D64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546">
        <w:rPr>
          <w:rFonts w:ascii="Times New Roman" w:hAnsi="Times New Roman" w:cs="Times New Roman"/>
          <w:sz w:val="28"/>
          <w:szCs w:val="28"/>
          <w:lang w:val="uk-UA"/>
        </w:rPr>
        <w:t>потенціал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3CD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83B8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>декваліну</w:t>
      </w:r>
      <w:proofErr w:type="spellEnd"/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D3CD7">
        <w:rPr>
          <w:rFonts w:ascii="Times New Roman" w:hAnsi="Times New Roman" w:cs="Times New Roman"/>
          <w:sz w:val="28"/>
          <w:szCs w:val="28"/>
          <w:lang w:val="uk-UA"/>
        </w:rPr>
        <w:t>деламаніду</w:t>
      </w:r>
      <w:proofErr w:type="spellEnd"/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64546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D64546" w:rsidRPr="00D64546">
        <w:rPr>
          <w:rFonts w:ascii="Times New Roman" w:hAnsi="Times New Roman" w:cs="Times New Roman"/>
          <w:sz w:val="28"/>
          <w:szCs w:val="28"/>
          <w:lang w:val="uk-UA"/>
        </w:rPr>
        <w:t xml:space="preserve"> перепрофільованих ліків</w:t>
      </w:r>
      <w:r w:rsidR="00D64546">
        <w:rPr>
          <w:rFonts w:ascii="Times New Roman" w:hAnsi="Times New Roman" w:cs="Times New Roman"/>
          <w:sz w:val="28"/>
          <w:szCs w:val="28"/>
          <w:lang w:val="uk-UA"/>
        </w:rPr>
        <w:t>, які застосовуються в режимах лікування МРТБ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 xml:space="preserve">, вони включені до </w:t>
      </w:r>
      <w:r w:rsidR="00D64546" w:rsidRPr="00D64546">
        <w:rPr>
          <w:rFonts w:ascii="Times New Roman" w:hAnsi="Times New Roman" w:cs="Times New Roman"/>
          <w:sz w:val="28"/>
          <w:szCs w:val="28"/>
          <w:lang w:val="uk-UA"/>
        </w:rPr>
        <w:t>Зразкового (або Модельного) переліку ВООЗ основних лікарських зас</w:t>
      </w:r>
      <w:r w:rsidR="00D64546">
        <w:rPr>
          <w:rFonts w:ascii="Times New Roman" w:hAnsi="Times New Roman" w:cs="Times New Roman"/>
          <w:sz w:val="28"/>
          <w:szCs w:val="28"/>
          <w:lang w:val="uk-UA"/>
        </w:rPr>
        <w:t xml:space="preserve">обів 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64546">
        <w:rPr>
          <w:rFonts w:ascii="Times New Roman" w:hAnsi="Times New Roman" w:cs="Times New Roman"/>
          <w:sz w:val="28"/>
          <w:szCs w:val="28"/>
          <w:lang w:val="uk-UA"/>
        </w:rPr>
        <w:t xml:space="preserve">WHO </w:t>
      </w:r>
      <w:proofErr w:type="spellStart"/>
      <w:r w:rsidR="00D64546">
        <w:rPr>
          <w:rFonts w:ascii="Times New Roman" w:hAnsi="Times New Roman" w:cs="Times New Roman"/>
          <w:sz w:val="28"/>
          <w:szCs w:val="28"/>
          <w:lang w:val="uk-UA"/>
        </w:rPr>
        <w:t>Model</w:t>
      </w:r>
      <w:proofErr w:type="spellEnd"/>
      <w:r w:rsidR="00D64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4546">
        <w:rPr>
          <w:rFonts w:ascii="Times New Roman" w:hAnsi="Times New Roman" w:cs="Times New Roman"/>
          <w:sz w:val="28"/>
          <w:szCs w:val="28"/>
          <w:lang w:val="uk-UA"/>
        </w:rPr>
        <w:t>List</w:t>
      </w:r>
      <w:proofErr w:type="spellEnd"/>
      <w:r w:rsidR="00D64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4546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D64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4546">
        <w:rPr>
          <w:rFonts w:ascii="Times New Roman" w:hAnsi="Times New Roman" w:cs="Times New Roman"/>
          <w:sz w:val="28"/>
          <w:szCs w:val="28"/>
          <w:lang w:val="uk-UA"/>
        </w:rPr>
        <w:t>Essential</w:t>
      </w:r>
      <w:proofErr w:type="spellEnd"/>
      <w:r w:rsidR="00D64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4546" w:rsidRPr="00D64546">
        <w:rPr>
          <w:rFonts w:ascii="Times New Roman" w:hAnsi="Times New Roman" w:cs="Times New Roman"/>
          <w:sz w:val="28"/>
          <w:szCs w:val="28"/>
          <w:lang w:val="uk-UA"/>
        </w:rPr>
        <w:t>Medicines</w:t>
      </w:r>
      <w:proofErr w:type="spellEnd"/>
      <w:r w:rsidR="00D64546" w:rsidRPr="00D645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FF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D3CD7">
        <w:rPr>
          <w:rFonts w:ascii="Times New Roman" w:hAnsi="Times New Roman" w:cs="Times New Roman"/>
          <w:sz w:val="28"/>
          <w:szCs w:val="28"/>
          <w:lang w:val="uk-UA"/>
        </w:rPr>
        <w:t>19), (20)</w:t>
      </w:r>
    </w:p>
    <w:p w14:paraId="0E4E0357" w14:textId="77777777" w:rsidR="0071339A" w:rsidRDefault="0071339A" w:rsidP="00642F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382EE49" w14:textId="73554EA4" w:rsidR="00C30CB1" w:rsidRDefault="00C30CB1" w:rsidP="00642FF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все більш широким застосуванням</w:t>
      </w:r>
      <w:r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ед</w:t>
      </w:r>
      <w:r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аквіліну та </w:t>
      </w:r>
      <w:proofErr w:type="spellStart"/>
      <w:r w:rsidRPr="00C30CB1">
        <w:rPr>
          <w:rFonts w:ascii="Times New Roman" w:hAnsi="Times New Roman" w:cs="Times New Roman"/>
          <w:b/>
          <w:sz w:val="28"/>
          <w:szCs w:val="28"/>
          <w:lang w:val="uk-UA"/>
        </w:rPr>
        <w:t>деламані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останні роки, лікарі та </w:t>
      </w:r>
      <w:r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Національні програми боротьби з туберкульозом </w:t>
      </w:r>
      <w:r w:rsidR="00642FF9">
        <w:rPr>
          <w:rFonts w:ascii="Times New Roman" w:hAnsi="Times New Roman" w:cs="Times New Roman"/>
          <w:b/>
          <w:sz w:val="28"/>
          <w:szCs w:val="28"/>
          <w:lang w:val="uk-UA"/>
        </w:rPr>
        <w:t>стикаються з тим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642FF9">
        <w:rPr>
          <w:rFonts w:ascii="Times New Roman" w:hAnsi="Times New Roman" w:cs="Times New Roman"/>
          <w:b/>
          <w:sz w:val="28"/>
          <w:szCs w:val="28"/>
          <w:lang w:val="uk-UA"/>
        </w:rPr>
        <w:t>що у них майже не залишається іншого вибору, о</w:t>
      </w:r>
      <w:r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крім </w:t>
      </w:r>
      <w:r w:rsidR="00642F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почати застосування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лікарських засобів поза</w:t>
      </w:r>
      <w:r w:rsidR="00642F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зареєстрованими показаннями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E71DD">
        <w:rPr>
          <w:rFonts w:ascii="Times New Roman" w:hAnsi="Times New Roman" w:cs="Times New Roman"/>
          <w:b/>
          <w:sz w:val="28"/>
          <w:szCs w:val="28"/>
          <w:lang w:val="uk-UA"/>
        </w:rPr>
        <w:t>Таке їх застосування може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запропонувати </w:t>
      </w:r>
      <w:r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потенційно </w:t>
      </w:r>
      <w:proofErr w:type="spellStart"/>
      <w:r w:rsidR="00FE71DD">
        <w:rPr>
          <w:rFonts w:ascii="Times New Roman" w:hAnsi="Times New Roman" w:cs="Times New Roman"/>
          <w:b/>
          <w:sz w:val="28"/>
          <w:szCs w:val="28"/>
          <w:lang w:val="uk-UA"/>
        </w:rPr>
        <w:t>життєзберігаюче</w:t>
      </w:r>
      <w:proofErr w:type="spellEnd"/>
      <w:r w:rsidR="00FE71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лікування пацієнтам з МР</w:t>
      </w:r>
      <w:r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ТБ (у тому </w:t>
      </w:r>
      <w:r w:rsidR="00FE71DD">
        <w:rPr>
          <w:rFonts w:ascii="Times New Roman" w:hAnsi="Times New Roman" w:cs="Times New Roman"/>
          <w:b/>
          <w:sz w:val="28"/>
          <w:szCs w:val="28"/>
          <w:lang w:val="uk-UA"/>
        </w:rPr>
        <w:t>числі з додатковою лікарською стійкістю</w:t>
      </w:r>
      <w:r w:rsidRPr="00C30CB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FE71D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30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Узагальне</w:t>
      </w:r>
      <w:r w:rsidR="00FE71DD">
        <w:rPr>
          <w:rFonts w:ascii="Times New Roman" w:hAnsi="Times New Roman" w:cs="Times New Roman"/>
          <w:b/>
          <w:sz w:val="28"/>
          <w:szCs w:val="28"/>
          <w:lang w:val="uk-UA"/>
        </w:rPr>
        <w:t>ні приклади деяких загальних ди</w:t>
      </w:r>
      <w:r w:rsidRPr="00C30CB1">
        <w:rPr>
          <w:rFonts w:ascii="Times New Roman" w:hAnsi="Times New Roman" w:cs="Times New Roman"/>
          <w:b/>
          <w:sz w:val="28"/>
          <w:szCs w:val="28"/>
          <w:lang w:val="uk-UA"/>
        </w:rPr>
        <w:t>лем та</w:t>
      </w:r>
      <w:r w:rsidR="00642F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підходів до кращих практик</w:t>
      </w:r>
      <w:r w:rsidR="00FE71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описані </w:t>
      </w:r>
      <w:r w:rsidRPr="00C30CB1">
        <w:rPr>
          <w:rFonts w:ascii="Times New Roman" w:hAnsi="Times New Roman" w:cs="Times New Roman"/>
          <w:b/>
          <w:sz w:val="28"/>
          <w:szCs w:val="28"/>
          <w:lang w:val="uk-UA"/>
        </w:rPr>
        <w:t>нижче:</w:t>
      </w:r>
    </w:p>
    <w:p w14:paraId="0D4066BB" w14:textId="77777777" w:rsidR="00642FF9" w:rsidRDefault="00642FF9" w:rsidP="00642FF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14A044BD" w14:textId="77777777" w:rsidR="00401231" w:rsidRPr="008B333A" w:rsidRDefault="00401231" w:rsidP="00642FF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B333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Ситуації, які можуть </w:t>
      </w:r>
      <w:r w:rsidR="0048588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спонукати до застосування </w:t>
      </w:r>
      <w:r w:rsidRPr="008B333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бедаквіліну або </w:t>
      </w:r>
      <w:proofErr w:type="spellStart"/>
      <w:r w:rsidRPr="008B333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деламаніда</w:t>
      </w:r>
      <w:proofErr w:type="spellEnd"/>
      <w:r w:rsidR="0048588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485883" w:rsidRPr="0048588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поза їх зареєстрованими показаннями</w:t>
      </w:r>
    </w:p>
    <w:p w14:paraId="6379D050" w14:textId="77777777" w:rsidR="00485883" w:rsidRDefault="00485883" w:rsidP="00642F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397C1B" w14:textId="44148C35" w:rsidR="00401231" w:rsidRPr="00401231" w:rsidRDefault="00401231" w:rsidP="00642F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1231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37697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Діти та вагітні жінки: </w:t>
      </w:r>
      <w:r w:rsidRPr="00401231">
        <w:rPr>
          <w:rFonts w:ascii="Times New Roman" w:hAnsi="Times New Roman" w:cs="Times New Roman"/>
          <w:sz w:val="28"/>
          <w:szCs w:val="28"/>
          <w:lang w:val="uk-UA"/>
        </w:rPr>
        <w:t>через відсутність доказів щодо безпечност</w:t>
      </w:r>
      <w:r w:rsidR="00105990">
        <w:rPr>
          <w:rFonts w:ascii="Times New Roman" w:hAnsi="Times New Roman" w:cs="Times New Roman"/>
          <w:sz w:val="28"/>
          <w:szCs w:val="28"/>
          <w:lang w:val="uk-UA"/>
        </w:rPr>
        <w:t>і та ефективності</w:t>
      </w:r>
      <w:r w:rsidR="00642FF9">
        <w:rPr>
          <w:rFonts w:ascii="Times New Roman" w:hAnsi="Times New Roman" w:cs="Times New Roman"/>
          <w:sz w:val="28"/>
          <w:szCs w:val="28"/>
          <w:lang w:val="uk-UA"/>
        </w:rPr>
        <w:t xml:space="preserve"> цього лікарського препарату,</w:t>
      </w:r>
      <w:r w:rsidR="00105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5990">
        <w:rPr>
          <w:rFonts w:ascii="Times New Roman" w:hAnsi="Times New Roman" w:cs="Times New Roman"/>
          <w:sz w:val="28"/>
          <w:szCs w:val="28"/>
          <w:lang w:val="uk-UA"/>
        </w:rPr>
        <w:t>бедаквілін</w:t>
      </w:r>
      <w:proofErr w:type="spellEnd"/>
      <w:r w:rsidR="00105990">
        <w:rPr>
          <w:rFonts w:ascii="Times New Roman" w:hAnsi="Times New Roman" w:cs="Times New Roman"/>
          <w:sz w:val="28"/>
          <w:szCs w:val="28"/>
          <w:lang w:val="uk-UA"/>
        </w:rPr>
        <w:t xml:space="preserve"> не рекомендується для застосовування для</w:t>
      </w:r>
      <w:r w:rsidRPr="00401231">
        <w:rPr>
          <w:rFonts w:ascii="Times New Roman" w:hAnsi="Times New Roman" w:cs="Times New Roman"/>
          <w:sz w:val="28"/>
          <w:szCs w:val="28"/>
          <w:lang w:val="uk-UA"/>
        </w:rPr>
        <w:t xml:space="preserve"> дітей та вагітних жінок</w:t>
      </w:r>
      <w:r w:rsidR="00105990">
        <w:rPr>
          <w:rFonts w:ascii="Times New Roman" w:hAnsi="Times New Roman" w:cs="Times New Roman"/>
          <w:sz w:val="28"/>
          <w:szCs w:val="28"/>
          <w:lang w:val="uk-UA"/>
        </w:rPr>
        <w:t xml:space="preserve">. Аналогічним чином, </w:t>
      </w:r>
      <w:proofErr w:type="spellStart"/>
      <w:r w:rsidR="00105990">
        <w:rPr>
          <w:rFonts w:ascii="Times New Roman" w:hAnsi="Times New Roman" w:cs="Times New Roman"/>
          <w:sz w:val="28"/>
          <w:szCs w:val="28"/>
          <w:lang w:val="uk-UA"/>
        </w:rPr>
        <w:t>деламанід</w:t>
      </w:r>
      <w:proofErr w:type="spellEnd"/>
      <w:r w:rsidR="00105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1231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05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1231">
        <w:rPr>
          <w:rFonts w:ascii="Times New Roman" w:hAnsi="Times New Roman" w:cs="Times New Roman"/>
          <w:sz w:val="28"/>
          <w:szCs w:val="28"/>
          <w:lang w:val="uk-UA"/>
        </w:rPr>
        <w:t>рекомен</w:t>
      </w:r>
      <w:r w:rsidR="00105990">
        <w:rPr>
          <w:rFonts w:ascii="Times New Roman" w:hAnsi="Times New Roman" w:cs="Times New Roman"/>
          <w:sz w:val="28"/>
          <w:szCs w:val="28"/>
          <w:lang w:val="uk-UA"/>
        </w:rPr>
        <w:t xml:space="preserve">дується під час вагітності або для дітей молодше 6 років. Застосування </w:t>
      </w:r>
      <w:proofErr w:type="spellStart"/>
      <w:r w:rsidR="00105990">
        <w:rPr>
          <w:rFonts w:ascii="Times New Roman" w:hAnsi="Times New Roman" w:cs="Times New Roman"/>
          <w:sz w:val="28"/>
          <w:szCs w:val="28"/>
          <w:lang w:val="uk-UA"/>
        </w:rPr>
        <w:t>деламаніда</w:t>
      </w:r>
      <w:proofErr w:type="spellEnd"/>
      <w:r w:rsidR="00105990">
        <w:rPr>
          <w:rFonts w:ascii="Times New Roman" w:hAnsi="Times New Roman" w:cs="Times New Roman"/>
          <w:sz w:val="28"/>
          <w:szCs w:val="28"/>
          <w:lang w:val="uk-UA"/>
        </w:rPr>
        <w:t xml:space="preserve"> для старших дітей</w:t>
      </w:r>
      <w:r w:rsidRPr="00401231">
        <w:rPr>
          <w:rFonts w:ascii="Times New Roman" w:hAnsi="Times New Roman" w:cs="Times New Roman"/>
          <w:sz w:val="28"/>
          <w:szCs w:val="28"/>
          <w:lang w:val="uk-UA"/>
        </w:rPr>
        <w:t xml:space="preserve"> (6-17 років) </w:t>
      </w:r>
      <w:r w:rsidR="00105990">
        <w:rPr>
          <w:rFonts w:ascii="Times New Roman" w:hAnsi="Times New Roman" w:cs="Times New Roman"/>
          <w:sz w:val="28"/>
          <w:szCs w:val="28"/>
          <w:lang w:val="uk-UA"/>
        </w:rPr>
        <w:t>було рекомендовано</w:t>
      </w:r>
      <w:r w:rsidRPr="00401231">
        <w:rPr>
          <w:rFonts w:ascii="Times New Roman" w:hAnsi="Times New Roman" w:cs="Times New Roman"/>
          <w:sz w:val="28"/>
          <w:szCs w:val="28"/>
          <w:lang w:val="uk-UA"/>
        </w:rPr>
        <w:t xml:space="preserve"> ВООЗ на основі наявних даних PK / PD.</w:t>
      </w:r>
    </w:p>
    <w:p w14:paraId="3FF13735" w14:textId="77777777" w:rsidR="001E0445" w:rsidRDefault="00401231" w:rsidP="004012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1231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="0037697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Поза</w:t>
      </w:r>
      <w:r w:rsidRPr="0037697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легеневий</w:t>
      </w:r>
      <w:proofErr w:type="spellEnd"/>
      <w:r w:rsidRPr="0037697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 туберкульоз</w:t>
      </w:r>
      <w:r w:rsidR="0037697A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 (ПЗТБ)</w:t>
      </w:r>
      <w:r w:rsidRPr="00401231">
        <w:rPr>
          <w:rFonts w:ascii="Times New Roman" w:hAnsi="Times New Roman" w:cs="Times New Roman"/>
          <w:sz w:val="28"/>
          <w:szCs w:val="28"/>
          <w:lang w:val="uk-UA"/>
        </w:rPr>
        <w:t xml:space="preserve">: як </w:t>
      </w:r>
      <w:proofErr w:type="spellStart"/>
      <w:r w:rsidRPr="00401231">
        <w:rPr>
          <w:rFonts w:ascii="Times New Roman" w:hAnsi="Times New Roman" w:cs="Times New Roman"/>
          <w:sz w:val="28"/>
          <w:szCs w:val="28"/>
          <w:lang w:val="uk-UA"/>
        </w:rPr>
        <w:t>бедаквілін</w:t>
      </w:r>
      <w:proofErr w:type="spellEnd"/>
      <w:r w:rsidRPr="00401231">
        <w:rPr>
          <w:rFonts w:ascii="Times New Roman" w:hAnsi="Times New Roman" w:cs="Times New Roman"/>
          <w:sz w:val="28"/>
          <w:szCs w:val="28"/>
          <w:lang w:val="uk-UA"/>
        </w:rPr>
        <w:t xml:space="preserve">, так і </w:t>
      </w:r>
      <w:proofErr w:type="spellStart"/>
      <w:r w:rsidRPr="00401231">
        <w:rPr>
          <w:rFonts w:ascii="Times New Roman" w:hAnsi="Times New Roman" w:cs="Times New Roman"/>
          <w:sz w:val="28"/>
          <w:szCs w:val="28"/>
          <w:lang w:val="uk-UA"/>
        </w:rPr>
        <w:t>деламанід</w:t>
      </w:r>
      <w:proofErr w:type="spellEnd"/>
      <w:r w:rsidRPr="00401231">
        <w:rPr>
          <w:rFonts w:ascii="Times New Roman" w:hAnsi="Times New Roman" w:cs="Times New Roman"/>
          <w:sz w:val="28"/>
          <w:szCs w:val="28"/>
          <w:lang w:val="uk-UA"/>
        </w:rPr>
        <w:t xml:space="preserve"> були </w:t>
      </w:r>
    </w:p>
    <w:p w14:paraId="0F554911" w14:textId="542F1952" w:rsidR="001E0445" w:rsidRDefault="001E0445" w:rsidP="0040123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1231">
        <w:rPr>
          <w:rFonts w:ascii="Times New Roman" w:hAnsi="Times New Roman" w:cs="Times New Roman"/>
          <w:sz w:val="28"/>
          <w:szCs w:val="28"/>
          <w:lang w:val="uk-UA"/>
        </w:rPr>
        <w:t>зареєстров</w:t>
      </w:r>
      <w:r>
        <w:rPr>
          <w:rFonts w:ascii="Times New Roman" w:hAnsi="Times New Roman" w:cs="Times New Roman"/>
          <w:sz w:val="28"/>
          <w:szCs w:val="28"/>
          <w:lang w:val="uk-UA"/>
        </w:rPr>
        <w:t>ані для лікування лише легеневого</w:t>
      </w:r>
      <w:r w:rsidRPr="00401231">
        <w:rPr>
          <w:rFonts w:ascii="Times New Roman" w:hAnsi="Times New Roman" w:cs="Times New Roman"/>
          <w:sz w:val="28"/>
          <w:szCs w:val="28"/>
          <w:lang w:val="uk-UA"/>
        </w:rPr>
        <w:t xml:space="preserve"> туберкульоз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01231">
        <w:rPr>
          <w:rFonts w:ascii="Times New Roman" w:hAnsi="Times New Roman" w:cs="Times New Roman"/>
          <w:sz w:val="28"/>
          <w:szCs w:val="28"/>
          <w:lang w:val="uk-UA"/>
        </w:rPr>
        <w:t>. Настано</w:t>
      </w:r>
      <w:r>
        <w:rPr>
          <w:rFonts w:ascii="Times New Roman" w:hAnsi="Times New Roman" w:cs="Times New Roman"/>
          <w:sz w:val="28"/>
          <w:szCs w:val="28"/>
          <w:lang w:val="uk-UA"/>
        </w:rPr>
        <w:t>ви ВООЗ</w:t>
      </w:r>
    </w:p>
    <w:p w14:paraId="5F45B34E" w14:textId="70C9F02A" w:rsidR="00D902B3" w:rsidRDefault="00642FF9" w:rsidP="0040123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політики передбачають</w:t>
      </w:r>
      <w:r w:rsidRPr="00401231">
        <w:rPr>
          <w:rFonts w:ascii="Times New Roman" w:hAnsi="Times New Roman" w:cs="Times New Roman"/>
          <w:sz w:val="28"/>
          <w:szCs w:val="28"/>
          <w:lang w:val="uk-UA"/>
        </w:rPr>
        <w:t xml:space="preserve"> їх використання в </w:t>
      </w:r>
      <w:proofErr w:type="spellStart"/>
      <w:r w:rsidRPr="00401231">
        <w:rPr>
          <w:rFonts w:ascii="Times New Roman" w:hAnsi="Times New Roman" w:cs="Times New Roman"/>
          <w:sz w:val="28"/>
          <w:szCs w:val="28"/>
          <w:lang w:val="uk-UA"/>
        </w:rPr>
        <w:t>позалегеневих</w:t>
      </w:r>
      <w:proofErr w:type="spellEnd"/>
      <w:r w:rsidRPr="00401231">
        <w:rPr>
          <w:rFonts w:ascii="Times New Roman" w:hAnsi="Times New Roman" w:cs="Times New Roman"/>
          <w:sz w:val="28"/>
          <w:szCs w:val="28"/>
          <w:lang w:val="uk-UA"/>
        </w:rPr>
        <w:t xml:space="preserve"> формах</w:t>
      </w:r>
    </w:p>
    <w:p w14:paraId="52AECDEF" w14:textId="2D5A8C98" w:rsidR="00642FF9" w:rsidRDefault="00642FF9" w:rsidP="0040123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1231">
        <w:rPr>
          <w:rFonts w:ascii="Times New Roman" w:hAnsi="Times New Roman" w:cs="Times New Roman"/>
          <w:sz w:val="28"/>
          <w:szCs w:val="28"/>
          <w:lang w:val="uk-UA"/>
        </w:rPr>
        <w:t>захворювання на основ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екстраполяції результатів </w:t>
      </w:r>
      <w:r w:rsidRPr="00401231">
        <w:rPr>
          <w:rFonts w:ascii="Times New Roman" w:hAnsi="Times New Roman" w:cs="Times New Roman"/>
          <w:sz w:val="28"/>
          <w:szCs w:val="28"/>
          <w:lang w:val="uk-UA"/>
        </w:rPr>
        <w:t>легеневого туберку</w:t>
      </w:r>
      <w:r>
        <w:rPr>
          <w:rFonts w:ascii="Times New Roman" w:hAnsi="Times New Roman" w:cs="Times New Roman"/>
          <w:sz w:val="28"/>
          <w:szCs w:val="28"/>
          <w:lang w:val="uk-UA"/>
        </w:rPr>
        <w:t>льозу;</w:t>
      </w:r>
      <w:r w:rsidR="00653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9B88E0" w14:textId="77777777" w:rsidR="00653651" w:rsidRDefault="00653651" w:rsidP="0040123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D4DF847" w14:textId="6686977C" w:rsidR="00D902B3" w:rsidRPr="00A95C63" w:rsidRDefault="001E0445" w:rsidP="00D902B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4"/>
          <w:szCs w:val="24"/>
          <w:lang w:val="uk-UA"/>
        </w:rPr>
      </w:pPr>
      <w:r w:rsidRPr="001E0445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lastRenderedPageBreak/>
        <w:t>v</w:t>
      </w:r>
      <w:r w:rsidR="00D90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02B3" w:rsidRPr="00A95C63">
        <w:rPr>
          <w:rFonts w:ascii="Times" w:hAnsi="Times" w:cs="Times"/>
          <w:color w:val="000000"/>
          <w:position w:val="10"/>
          <w:sz w:val="16"/>
          <w:szCs w:val="16"/>
          <w:lang w:val="uk-UA"/>
        </w:rPr>
        <w:t xml:space="preserve"> </w:t>
      </w:r>
      <w:hyperlink r:id="rId10" w:history="1">
        <w:proofErr w:type="spellStart"/>
        <w:r w:rsidR="00D902B3" w:rsidRPr="00423568">
          <w:rPr>
            <w:rStyle w:val="ab"/>
            <w:rFonts w:ascii="Times" w:hAnsi="Times" w:cs="Times"/>
            <w:sz w:val="24"/>
            <w:szCs w:val="24"/>
          </w:rPr>
          <w:t>http</w:t>
        </w:r>
        <w:proofErr w:type="spellEnd"/>
        <w:r w:rsidR="00D902B3" w:rsidRPr="00423568">
          <w:rPr>
            <w:rStyle w:val="ab"/>
            <w:rFonts w:ascii="Times" w:hAnsi="Times" w:cs="Times"/>
            <w:sz w:val="24"/>
            <w:szCs w:val="24"/>
            <w:lang w:val="uk-UA"/>
          </w:rPr>
          <w:t>://</w:t>
        </w:r>
        <w:proofErr w:type="spellStart"/>
        <w:r w:rsidR="00D902B3" w:rsidRPr="00423568">
          <w:rPr>
            <w:rStyle w:val="ab"/>
            <w:rFonts w:ascii="Times" w:hAnsi="Times" w:cs="Times"/>
            <w:sz w:val="24"/>
            <w:szCs w:val="24"/>
          </w:rPr>
          <w:t>www</w:t>
        </w:r>
        <w:proofErr w:type="spellEnd"/>
        <w:r w:rsidR="00D902B3" w:rsidRPr="00423568">
          <w:rPr>
            <w:rStyle w:val="ab"/>
            <w:rFonts w:ascii="Times" w:hAnsi="Times" w:cs="Times"/>
            <w:sz w:val="24"/>
            <w:szCs w:val="24"/>
            <w:lang w:val="uk-UA"/>
          </w:rPr>
          <w:t>.</w:t>
        </w:r>
        <w:proofErr w:type="spellStart"/>
        <w:r w:rsidR="00D902B3" w:rsidRPr="00423568">
          <w:rPr>
            <w:rStyle w:val="ab"/>
            <w:rFonts w:ascii="Times" w:hAnsi="Times" w:cs="Times"/>
            <w:sz w:val="24"/>
            <w:szCs w:val="24"/>
          </w:rPr>
          <w:t>who</w:t>
        </w:r>
        <w:proofErr w:type="spellEnd"/>
        <w:r w:rsidR="00D902B3" w:rsidRPr="00423568">
          <w:rPr>
            <w:rStyle w:val="ab"/>
            <w:rFonts w:ascii="Times" w:hAnsi="Times" w:cs="Times"/>
            <w:sz w:val="24"/>
            <w:szCs w:val="24"/>
            <w:lang w:val="uk-UA"/>
          </w:rPr>
          <w:t>.</w:t>
        </w:r>
        <w:proofErr w:type="spellStart"/>
        <w:r w:rsidR="00D902B3" w:rsidRPr="00423568">
          <w:rPr>
            <w:rStyle w:val="ab"/>
            <w:rFonts w:ascii="Times" w:hAnsi="Times" w:cs="Times"/>
            <w:sz w:val="24"/>
            <w:szCs w:val="24"/>
          </w:rPr>
          <w:t>int</w:t>
        </w:r>
        <w:proofErr w:type="spellEnd"/>
        <w:r w:rsidR="00D902B3" w:rsidRPr="00423568">
          <w:rPr>
            <w:rStyle w:val="ab"/>
            <w:rFonts w:ascii="Times" w:hAnsi="Times" w:cs="Times"/>
            <w:sz w:val="24"/>
            <w:szCs w:val="24"/>
            <w:lang w:val="uk-UA"/>
          </w:rPr>
          <w:t>/</w:t>
        </w:r>
        <w:proofErr w:type="spellStart"/>
        <w:r w:rsidR="00D902B3" w:rsidRPr="00423568">
          <w:rPr>
            <w:rStyle w:val="ab"/>
            <w:rFonts w:ascii="Times" w:hAnsi="Times" w:cs="Times"/>
            <w:sz w:val="24"/>
            <w:szCs w:val="24"/>
          </w:rPr>
          <w:t>tb</w:t>
        </w:r>
        <w:proofErr w:type="spellEnd"/>
        <w:r w:rsidR="00D902B3" w:rsidRPr="00423568">
          <w:rPr>
            <w:rStyle w:val="ab"/>
            <w:rFonts w:ascii="Times" w:hAnsi="Times" w:cs="Times"/>
            <w:sz w:val="24"/>
            <w:szCs w:val="24"/>
            <w:lang w:val="uk-UA"/>
          </w:rPr>
          <w:t>/</w:t>
        </w:r>
        <w:proofErr w:type="spellStart"/>
        <w:r w:rsidR="00D902B3" w:rsidRPr="00423568">
          <w:rPr>
            <w:rStyle w:val="ab"/>
            <w:rFonts w:ascii="Times" w:hAnsi="Times" w:cs="Times"/>
            <w:sz w:val="24"/>
            <w:szCs w:val="24"/>
          </w:rPr>
          <w:t>areas</w:t>
        </w:r>
        <w:proofErr w:type="spellEnd"/>
        <w:r w:rsidR="00D902B3" w:rsidRPr="00423568">
          <w:rPr>
            <w:rStyle w:val="ab"/>
            <w:rFonts w:ascii="Times" w:hAnsi="Times" w:cs="Times"/>
            <w:sz w:val="24"/>
            <w:szCs w:val="24"/>
            <w:lang w:val="uk-UA"/>
          </w:rPr>
          <w:t>-</w:t>
        </w:r>
        <w:proofErr w:type="spellStart"/>
        <w:r w:rsidR="00D902B3" w:rsidRPr="00423568">
          <w:rPr>
            <w:rStyle w:val="ab"/>
            <w:rFonts w:ascii="Times" w:hAnsi="Times" w:cs="Times"/>
            <w:sz w:val="24"/>
            <w:szCs w:val="24"/>
          </w:rPr>
          <w:t>of</w:t>
        </w:r>
        <w:proofErr w:type="spellEnd"/>
        <w:r w:rsidR="00D902B3" w:rsidRPr="00423568">
          <w:rPr>
            <w:rStyle w:val="ab"/>
            <w:rFonts w:ascii="Times" w:hAnsi="Times" w:cs="Times"/>
            <w:sz w:val="24"/>
            <w:szCs w:val="24"/>
            <w:lang w:val="uk-UA"/>
          </w:rPr>
          <w:t>-</w:t>
        </w:r>
        <w:proofErr w:type="spellStart"/>
        <w:r w:rsidR="00D902B3" w:rsidRPr="00423568">
          <w:rPr>
            <w:rStyle w:val="ab"/>
            <w:rFonts w:ascii="Times" w:hAnsi="Times" w:cs="Times"/>
            <w:sz w:val="24"/>
            <w:szCs w:val="24"/>
          </w:rPr>
          <w:t>work</w:t>
        </w:r>
        <w:proofErr w:type="spellEnd"/>
        <w:r w:rsidR="00D902B3" w:rsidRPr="00423568">
          <w:rPr>
            <w:rStyle w:val="ab"/>
            <w:rFonts w:ascii="Times" w:hAnsi="Times" w:cs="Times"/>
            <w:sz w:val="24"/>
            <w:szCs w:val="24"/>
            <w:lang w:val="uk-UA"/>
          </w:rPr>
          <w:t>/</w:t>
        </w:r>
        <w:proofErr w:type="spellStart"/>
        <w:r w:rsidR="00D902B3" w:rsidRPr="00423568">
          <w:rPr>
            <w:rStyle w:val="ab"/>
            <w:rFonts w:ascii="Times" w:hAnsi="Times" w:cs="Times"/>
            <w:sz w:val="24"/>
            <w:szCs w:val="24"/>
          </w:rPr>
          <w:t>drug</w:t>
        </w:r>
        <w:proofErr w:type="spellEnd"/>
        <w:r w:rsidR="00D902B3" w:rsidRPr="00423568">
          <w:rPr>
            <w:rStyle w:val="ab"/>
            <w:rFonts w:ascii="Times" w:hAnsi="Times" w:cs="Times"/>
            <w:sz w:val="24"/>
            <w:szCs w:val="24"/>
            <w:lang w:val="uk-UA"/>
          </w:rPr>
          <w:t>-</w:t>
        </w:r>
        <w:proofErr w:type="spellStart"/>
        <w:r w:rsidR="00D902B3" w:rsidRPr="00423568">
          <w:rPr>
            <w:rStyle w:val="ab"/>
            <w:rFonts w:ascii="Times" w:hAnsi="Times" w:cs="Times"/>
            <w:sz w:val="24"/>
            <w:szCs w:val="24"/>
          </w:rPr>
          <w:t>resistant</w:t>
        </w:r>
        <w:proofErr w:type="spellEnd"/>
        <w:r w:rsidR="00D902B3" w:rsidRPr="00423568">
          <w:rPr>
            <w:rStyle w:val="ab"/>
            <w:rFonts w:ascii="Times" w:hAnsi="Times" w:cs="Times"/>
            <w:sz w:val="24"/>
            <w:szCs w:val="24"/>
            <w:lang w:val="uk-UA"/>
          </w:rPr>
          <w:t>-</w:t>
        </w:r>
        <w:proofErr w:type="spellStart"/>
        <w:r w:rsidR="00D902B3" w:rsidRPr="00423568">
          <w:rPr>
            <w:rStyle w:val="ab"/>
            <w:rFonts w:ascii="Times" w:hAnsi="Times" w:cs="Times"/>
            <w:sz w:val="24"/>
            <w:szCs w:val="24"/>
          </w:rPr>
          <w:t>tb</w:t>
        </w:r>
        <w:proofErr w:type="spellEnd"/>
        <w:r w:rsidR="00D902B3" w:rsidRPr="00423568">
          <w:rPr>
            <w:rStyle w:val="ab"/>
            <w:rFonts w:ascii="Times" w:hAnsi="Times" w:cs="Times"/>
            <w:sz w:val="24"/>
            <w:szCs w:val="24"/>
            <w:lang w:val="uk-UA"/>
          </w:rPr>
          <w:t>/</w:t>
        </w:r>
        <w:proofErr w:type="spellStart"/>
        <w:r w:rsidR="00D902B3" w:rsidRPr="00423568">
          <w:rPr>
            <w:rStyle w:val="ab"/>
            <w:rFonts w:ascii="Times" w:hAnsi="Times" w:cs="Times"/>
            <w:sz w:val="24"/>
            <w:szCs w:val="24"/>
          </w:rPr>
          <w:t>treatment</w:t>
        </w:r>
        <w:proofErr w:type="spellEnd"/>
        <w:r w:rsidR="00D902B3" w:rsidRPr="00423568">
          <w:rPr>
            <w:rStyle w:val="ab"/>
            <w:rFonts w:ascii="Times" w:hAnsi="Times" w:cs="Times"/>
            <w:sz w:val="24"/>
            <w:szCs w:val="24"/>
            <w:lang w:val="uk-UA"/>
          </w:rPr>
          <w:t>/</w:t>
        </w:r>
        <w:proofErr w:type="spellStart"/>
        <w:r w:rsidR="00D902B3" w:rsidRPr="00423568">
          <w:rPr>
            <w:rStyle w:val="ab"/>
            <w:rFonts w:ascii="Times" w:hAnsi="Times" w:cs="Times"/>
            <w:sz w:val="24"/>
            <w:szCs w:val="24"/>
          </w:rPr>
          <w:t>en</w:t>
        </w:r>
        <w:proofErr w:type="spellEnd"/>
      </w:hyperlink>
      <w:r w:rsidR="00D902B3" w:rsidRPr="00A95C63">
        <w:rPr>
          <w:rFonts w:ascii="MS Mincho" w:eastAsia="MS Mincho" w:hAnsi="MS Mincho" w:cs="MS Mincho"/>
          <w:color w:val="000000"/>
          <w:sz w:val="24"/>
          <w:szCs w:val="24"/>
          <w:lang w:val="uk-UA"/>
        </w:rPr>
        <w:t>  </w:t>
      </w:r>
    </w:p>
    <w:p w14:paraId="297DBC82" w14:textId="3FFA156A" w:rsidR="001E0445" w:rsidRPr="00D902B3" w:rsidRDefault="001E0445" w:rsidP="004012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C657B6" w14:textId="0063C10F" w:rsidR="00D60DD4" w:rsidRDefault="00642FF9" w:rsidP="004012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однак, ефективність обох </w:t>
      </w:r>
      <w:r w:rsidR="00423568">
        <w:rPr>
          <w:rFonts w:ascii="Times New Roman" w:hAnsi="Times New Roman" w:cs="Times New Roman"/>
          <w:sz w:val="28"/>
          <w:szCs w:val="28"/>
          <w:lang w:val="uk-UA"/>
        </w:rPr>
        <w:t>препаратів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залишається не чітко зрозумілою при ПЗТБ, особливо в таких тяжких</w:t>
      </w:r>
      <w:r w:rsidRPr="00401231">
        <w:rPr>
          <w:rFonts w:ascii="Times New Roman" w:hAnsi="Times New Roman" w:cs="Times New Roman"/>
          <w:sz w:val="28"/>
          <w:szCs w:val="28"/>
          <w:lang w:val="uk-UA"/>
        </w:rPr>
        <w:t xml:space="preserve"> формах, як менінгіт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FD3098" w14:textId="35DAADDD" w:rsidR="002221C1" w:rsidRPr="00D652C8" w:rsidRDefault="00D60DD4" w:rsidP="00D652C8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E67F8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Обмежені режими лікування:</w:t>
      </w:r>
      <w:r w:rsidRPr="00FE67F8"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  <w:t xml:space="preserve"> </w:t>
      </w:r>
      <w:r w:rsidR="00FE67F8">
        <w:rPr>
          <w:rFonts w:ascii="Times New Roman" w:hAnsi="Times New Roman" w:cs="Times New Roman"/>
          <w:sz w:val="28"/>
          <w:szCs w:val="28"/>
          <w:lang w:val="uk-UA"/>
        </w:rPr>
        <w:t>принцип</w:t>
      </w:r>
      <w:r w:rsidRPr="00FE67F8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п'я</w:t>
      </w:r>
      <w:r w:rsidR="00FE67F8">
        <w:rPr>
          <w:rFonts w:ascii="Times New Roman" w:hAnsi="Times New Roman" w:cs="Times New Roman"/>
          <w:sz w:val="28"/>
          <w:szCs w:val="28"/>
          <w:lang w:val="uk-UA"/>
        </w:rPr>
        <w:t>ти або більше ефективних ліків протягом</w:t>
      </w:r>
      <w:r w:rsidRPr="00FE67F8">
        <w:rPr>
          <w:rFonts w:ascii="Times New Roman" w:hAnsi="Times New Roman" w:cs="Times New Roman"/>
          <w:sz w:val="28"/>
          <w:szCs w:val="28"/>
          <w:lang w:val="uk-UA"/>
        </w:rPr>
        <w:t xml:space="preserve"> більш тривал</w:t>
      </w:r>
      <w:r w:rsidR="00FE67F8">
        <w:rPr>
          <w:rFonts w:ascii="Times New Roman" w:hAnsi="Times New Roman" w:cs="Times New Roman"/>
          <w:sz w:val="28"/>
          <w:szCs w:val="28"/>
          <w:lang w:val="uk-UA"/>
        </w:rPr>
        <w:t>ого р</w:t>
      </w:r>
      <w:r w:rsidRPr="00FE67F8">
        <w:rPr>
          <w:rFonts w:ascii="Times New Roman" w:hAnsi="Times New Roman" w:cs="Times New Roman"/>
          <w:sz w:val="28"/>
          <w:szCs w:val="28"/>
          <w:lang w:val="uk-UA"/>
        </w:rPr>
        <w:t>ежим</w:t>
      </w:r>
      <w:r w:rsidR="00FE67F8">
        <w:rPr>
          <w:rFonts w:ascii="Times New Roman" w:hAnsi="Times New Roman" w:cs="Times New Roman"/>
          <w:sz w:val="28"/>
          <w:szCs w:val="28"/>
          <w:lang w:val="uk-UA"/>
        </w:rPr>
        <w:t xml:space="preserve">у лікування МРТБ, не додаючи нового </w:t>
      </w:r>
      <w:proofErr w:type="spellStart"/>
      <w:r w:rsidR="00FE67F8">
        <w:rPr>
          <w:rFonts w:ascii="Times New Roman" w:hAnsi="Times New Roman" w:cs="Times New Roman"/>
          <w:sz w:val="28"/>
          <w:szCs w:val="28"/>
          <w:lang w:val="uk-UA"/>
        </w:rPr>
        <w:t>агента</w:t>
      </w:r>
      <w:proofErr w:type="spellEnd"/>
      <w:r w:rsidR="00FE6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2C8">
        <w:rPr>
          <w:rFonts w:ascii="Times New Roman" w:hAnsi="Times New Roman" w:cs="Times New Roman"/>
          <w:sz w:val="28"/>
          <w:szCs w:val="28"/>
          <w:lang w:val="uk-UA"/>
        </w:rPr>
        <w:t xml:space="preserve">до неадекватної схеми </w:t>
      </w:r>
      <w:r w:rsidR="00FE67F8">
        <w:rPr>
          <w:rFonts w:ascii="Times New Roman" w:hAnsi="Times New Roman" w:cs="Times New Roman"/>
          <w:sz w:val="28"/>
          <w:szCs w:val="28"/>
          <w:lang w:val="uk-UA"/>
        </w:rPr>
        <w:t>залишається</w:t>
      </w:r>
      <w:r w:rsidR="00FE67F8" w:rsidRPr="00FE6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2C8">
        <w:rPr>
          <w:rFonts w:ascii="Times New Roman" w:hAnsi="Times New Roman" w:cs="Times New Roman"/>
          <w:sz w:val="28"/>
          <w:szCs w:val="28"/>
          <w:lang w:val="uk-UA"/>
        </w:rPr>
        <w:t>діючим</w:t>
      </w:r>
      <w:r w:rsidR="00FE67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221C1" w:rsidRPr="00FE67F8">
        <w:rPr>
          <w:rFonts w:ascii="Times New Roman" w:hAnsi="Times New Roman" w:cs="Times New Roman"/>
          <w:sz w:val="28"/>
          <w:szCs w:val="28"/>
          <w:lang w:val="uk-UA"/>
        </w:rPr>
        <w:t>Однак</w:t>
      </w:r>
      <w:r w:rsidR="00FE67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21C1" w:rsidRPr="00FE67F8">
        <w:rPr>
          <w:rFonts w:ascii="Times New Roman" w:hAnsi="Times New Roman" w:cs="Times New Roman"/>
          <w:sz w:val="28"/>
          <w:szCs w:val="28"/>
          <w:lang w:val="uk-UA"/>
        </w:rPr>
        <w:t xml:space="preserve"> деякі</w:t>
      </w:r>
      <w:r w:rsidR="00D65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7F8" w:rsidRPr="00D652C8">
        <w:rPr>
          <w:rFonts w:ascii="Times New Roman" w:hAnsi="Times New Roman" w:cs="Times New Roman"/>
          <w:sz w:val="28"/>
          <w:szCs w:val="28"/>
          <w:lang w:val="uk-UA"/>
        </w:rPr>
        <w:t xml:space="preserve">пацієнти можуть мати розширену форму резистентності або </w:t>
      </w:r>
      <w:r w:rsidR="002221C1" w:rsidRPr="00D652C8">
        <w:rPr>
          <w:rFonts w:ascii="Times New Roman" w:hAnsi="Times New Roman" w:cs="Times New Roman"/>
          <w:sz w:val="28"/>
          <w:szCs w:val="28"/>
          <w:lang w:val="uk-UA"/>
        </w:rPr>
        <w:t>неперенос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имість ліків або серйозні</w:t>
      </w:r>
      <w:r w:rsidR="00FE67F8" w:rsidRPr="00D65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514" w:rsidRPr="00D652C8">
        <w:rPr>
          <w:rFonts w:ascii="Times New Roman" w:hAnsi="Times New Roman" w:cs="Times New Roman"/>
          <w:sz w:val="28"/>
          <w:szCs w:val="28"/>
          <w:lang w:val="uk-UA"/>
        </w:rPr>
        <w:t>побічні реакції. Таким чином, останньою надією для</w:t>
      </w:r>
      <w:r w:rsidR="002221C1" w:rsidRPr="00D652C8">
        <w:rPr>
          <w:rFonts w:ascii="Times New Roman" w:hAnsi="Times New Roman" w:cs="Times New Roman"/>
          <w:sz w:val="28"/>
          <w:szCs w:val="28"/>
          <w:lang w:val="uk-UA"/>
        </w:rPr>
        <w:t xml:space="preserve"> таких пацієнтів </w:t>
      </w:r>
      <w:r w:rsidR="00541514" w:rsidRPr="00D652C8">
        <w:rPr>
          <w:rFonts w:ascii="Times New Roman" w:hAnsi="Times New Roman" w:cs="Times New Roman"/>
          <w:sz w:val="28"/>
          <w:szCs w:val="28"/>
          <w:lang w:val="uk-UA"/>
        </w:rPr>
        <w:t>є схема лікування, яка включає</w:t>
      </w:r>
      <w:r w:rsidR="00FE67F8" w:rsidRPr="00D652C8">
        <w:rPr>
          <w:rFonts w:ascii="Times New Roman" w:hAnsi="Times New Roman" w:cs="Times New Roman"/>
          <w:sz w:val="28"/>
          <w:szCs w:val="28"/>
          <w:lang w:val="uk-UA"/>
        </w:rPr>
        <w:t xml:space="preserve"> менше ефективних </w:t>
      </w:r>
      <w:r w:rsidR="00541514" w:rsidRPr="00D652C8">
        <w:rPr>
          <w:rFonts w:ascii="Times New Roman" w:hAnsi="Times New Roman" w:cs="Times New Roman"/>
          <w:sz w:val="28"/>
          <w:szCs w:val="28"/>
          <w:lang w:val="uk-UA"/>
        </w:rPr>
        <w:t xml:space="preserve">ліків та </w:t>
      </w:r>
      <w:r w:rsidR="00653651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541514" w:rsidRPr="00D652C8">
        <w:rPr>
          <w:rFonts w:ascii="Times New Roman" w:hAnsi="Times New Roman" w:cs="Times New Roman"/>
          <w:sz w:val="28"/>
          <w:szCs w:val="28"/>
          <w:lang w:val="uk-UA"/>
        </w:rPr>
        <w:t xml:space="preserve">повинна застосовуватися відповідно діючих етичних норм </w:t>
      </w:r>
      <w:r w:rsidR="002221C1" w:rsidRPr="00D652C8">
        <w:rPr>
          <w:rFonts w:ascii="Times New Roman" w:hAnsi="Times New Roman" w:cs="Times New Roman"/>
          <w:sz w:val="28"/>
          <w:szCs w:val="28"/>
          <w:lang w:val="uk-UA"/>
        </w:rPr>
        <w:t>(11), (22</w:t>
      </w:r>
      <w:r w:rsidR="002221C1" w:rsidRPr="00BA54C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13DF077" w14:textId="17406C78" w:rsidR="002221C1" w:rsidRPr="002221C1" w:rsidRDefault="002221C1" w:rsidP="00FE67F8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2221C1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D652C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</w:t>
      </w:r>
      <w:r w:rsidR="00D652C8" w:rsidRPr="00D652C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еобхідність </w:t>
      </w:r>
      <w:r w:rsidR="00D652C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продовження терміну </w:t>
      </w:r>
      <w:r w:rsidRPr="00D652C8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лікування:</w:t>
      </w:r>
      <w:r w:rsidRPr="00D652C8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FE67F8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 w:rsidR="00FE67F8">
        <w:rPr>
          <w:rFonts w:ascii="Times New Roman" w:hAnsi="Times New Roman" w:cs="Times New Roman"/>
          <w:sz w:val="28"/>
          <w:szCs w:val="28"/>
          <w:lang w:val="uk-UA"/>
        </w:rPr>
        <w:t>бедаквілін</w:t>
      </w:r>
      <w:proofErr w:type="spellEnd"/>
      <w:r w:rsidR="00FE67F8">
        <w:rPr>
          <w:rFonts w:ascii="Times New Roman" w:hAnsi="Times New Roman" w:cs="Times New Roman"/>
          <w:sz w:val="28"/>
          <w:szCs w:val="28"/>
          <w:lang w:val="uk-UA"/>
        </w:rPr>
        <w:t xml:space="preserve">, так і </w:t>
      </w:r>
      <w:proofErr w:type="spellStart"/>
      <w:r w:rsidR="00FE67F8">
        <w:rPr>
          <w:rFonts w:ascii="Times New Roman" w:hAnsi="Times New Roman" w:cs="Times New Roman"/>
          <w:sz w:val="28"/>
          <w:szCs w:val="28"/>
          <w:lang w:val="uk-UA"/>
        </w:rPr>
        <w:t>деламанід</w:t>
      </w:r>
      <w:proofErr w:type="spellEnd"/>
      <w:r w:rsidR="00FE67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4C1">
        <w:rPr>
          <w:rFonts w:ascii="Times New Roman" w:hAnsi="Times New Roman" w:cs="Times New Roman"/>
          <w:sz w:val="28"/>
          <w:szCs w:val="28"/>
          <w:lang w:val="uk-UA"/>
        </w:rPr>
        <w:t>зареєстровані для застосування</w:t>
      </w:r>
      <w:r w:rsidRPr="002221C1">
        <w:rPr>
          <w:rFonts w:ascii="Times New Roman" w:hAnsi="Times New Roman" w:cs="Times New Roman"/>
          <w:sz w:val="28"/>
          <w:szCs w:val="28"/>
          <w:lang w:val="uk-UA"/>
        </w:rPr>
        <w:t xml:space="preserve"> протягом 24 тижн</w:t>
      </w:r>
      <w:r w:rsidRPr="00A9696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D64DF">
        <w:rPr>
          <w:rFonts w:ascii="Times New Roman" w:hAnsi="Times New Roman" w:cs="Times New Roman"/>
          <w:sz w:val="28"/>
          <w:szCs w:val="28"/>
          <w:lang w:val="uk-UA"/>
        </w:rPr>
        <w:t xml:space="preserve"> (2), (8). Дані щодо безпеки застосування</w:t>
      </w:r>
      <w:r w:rsidR="00FE1101">
        <w:rPr>
          <w:rFonts w:ascii="Times New Roman" w:hAnsi="Times New Roman" w:cs="Times New Roman"/>
          <w:sz w:val="28"/>
          <w:szCs w:val="28"/>
          <w:lang w:val="uk-UA"/>
        </w:rPr>
        <w:t xml:space="preserve"> та додатков</w:t>
      </w:r>
      <w:r w:rsidR="0065365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D64DF">
        <w:rPr>
          <w:rFonts w:ascii="Times New Roman" w:hAnsi="Times New Roman" w:cs="Times New Roman"/>
          <w:sz w:val="28"/>
          <w:szCs w:val="28"/>
          <w:lang w:val="uk-UA"/>
        </w:rPr>
        <w:t xml:space="preserve"> ефект</w:t>
      </w:r>
      <w:r w:rsidR="00653651">
        <w:rPr>
          <w:rFonts w:ascii="Times New Roman" w:hAnsi="Times New Roman" w:cs="Times New Roman"/>
          <w:sz w:val="28"/>
          <w:szCs w:val="28"/>
          <w:lang w:val="uk-UA"/>
        </w:rPr>
        <w:t>у від застосування б</w:t>
      </w:r>
      <w:r w:rsidRPr="002221C1">
        <w:rPr>
          <w:rFonts w:ascii="Times New Roman" w:hAnsi="Times New Roman" w:cs="Times New Roman"/>
          <w:sz w:val="28"/>
          <w:szCs w:val="28"/>
          <w:lang w:val="uk-UA"/>
        </w:rPr>
        <w:t>едаквілін</w:t>
      </w:r>
      <w:r w:rsidR="00FD64D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221C1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="00583B80" w:rsidRPr="002221C1">
        <w:rPr>
          <w:rFonts w:ascii="Times New Roman" w:hAnsi="Times New Roman" w:cs="Times New Roman"/>
          <w:sz w:val="28"/>
          <w:szCs w:val="28"/>
          <w:lang w:val="uk-UA"/>
        </w:rPr>
        <w:t>деламанід</w:t>
      </w:r>
      <w:r w:rsidR="00583B80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583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4DF">
        <w:rPr>
          <w:rFonts w:ascii="Times New Roman" w:hAnsi="Times New Roman" w:cs="Times New Roman"/>
          <w:sz w:val="28"/>
          <w:szCs w:val="28"/>
          <w:lang w:val="uk-UA"/>
        </w:rPr>
        <w:t>довше ніж</w:t>
      </w:r>
      <w:r w:rsidRPr="002221C1">
        <w:rPr>
          <w:rFonts w:ascii="Times New Roman" w:hAnsi="Times New Roman" w:cs="Times New Roman"/>
          <w:sz w:val="28"/>
          <w:szCs w:val="28"/>
          <w:lang w:val="uk-UA"/>
        </w:rPr>
        <w:t xml:space="preserve"> 24 тижні залишають</w:t>
      </w:r>
      <w:r w:rsidR="00FE67F8">
        <w:rPr>
          <w:rFonts w:ascii="Times New Roman" w:hAnsi="Times New Roman" w:cs="Times New Roman"/>
          <w:sz w:val="28"/>
          <w:szCs w:val="28"/>
          <w:lang w:val="uk-UA"/>
        </w:rPr>
        <w:t xml:space="preserve">ся дуже обмеженими (21). </w:t>
      </w:r>
      <w:r w:rsidR="00FE67F8" w:rsidRPr="00653651">
        <w:rPr>
          <w:rFonts w:ascii="Times New Roman" w:hAnsi="Times New Roman" w:cs="Times New Roman"/>
          <w:sz w:val="28"/>
          <w:szCs w:val="28"/>
          <w:lang w:val="uk-UA"/>
        </w:rPr>
        <w:t xml:space="preserve">Проте, </w:t>
      </w:r>
      <w:r w:rsidRPr="00653651">
        <w:rPr>
          <w:rFonts w:ascii="Times New Roman" w:hAnsi="Times New Roman" w:cs="Times New Roman"/>
          <w:sz w:val="28"/>
          <w:szCs w:val="28"/>
          <w:lang w:val="uk-UA"/>
        </w:rPr>
        <w:t>клініцисти та національні програми з туб</w:t>
      </w:r>
      <w:r w:rsidR="00EA2585" w:rsidRPr="00653651">
        <w:rPr>
          <w:rFonts w:ascii="Times New Roman" w:hAnsi="Times New Roman" w:cs="Times New Roman"/>
          <w:sz w:val="28"/>
          <w:szCs w:val="28"/>
          <w:lang w:val="uk-UA"/>
        </w:rPr>
        <w:t xml:space="preserve">еркульозу можуть бути </w:t>
      </w:r>
      <w:r w:rsidR="006A72C2" w:rsidRPr="0065365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E67F8" w:rsidRPr="00653651">
        <w:rPr>
          <w:rFonts w:ascii="Times New Roman" w:hAnsi="Times New Roman" w:cs="Times New Roman"/>
          <w:sz w:val="28"/>
          <w:szCs w:val="28"/>
          <w:lang w:val="uk-UA"/>
        </w:rPr>
        <w:t xml:space="preserve">мушені </w:t>
      </w:r>
      <w:r w:rsidR="006A72C2" w:rsidRPr="00653651">
        <w:rPr>
          <w:rFonts w:ascii="Times New Roman" w:hAnsi="Times New Roman" w:cs="Times New Roman"/>
          <w:sz w:val="28"/>
          <w:szCs w:val="28"/>
          <w:lang w:val="uk-UA"/>
        </w:rPr>
        <w:t>застосовувати ці ліки довше ніж 24 тижні для лікування вибраних хворих з MР ТБ</w:t>
      </w:r>
      <w:r w:rsidRPr="00653651">
        <w:rPr>
          <w:rFonts w:ascii="Times New Roman" w:hAnsi="Times New Roman" w:cs="Times New Roman"/>
          <w:sz w:val="28"/>
          <w:szCs w:val="28"/>
          <w:lang w:val="uk-UA"/>
        </w:rPr>
        <w:t xml:space="preserve"> (у тому числі з додат</w:t>
      </w:r>
      <w:r w:rsidR="00FE67F8" w:rsidRPr="00653651">
        <w:rPr>
          <w:rFonts w:ascii="Times New Roman" w:hAnsi="Times New Roman" w:cs="Times New Roman"/>
          <w:sz w:val="28"/>
          <w:szCs w:val="28"/>
          <w:lang w:val="uk-UA"/>
        </w:rPr>
        <w:t xml:space="preserve">ковою стійкістю до ліків), якщо </w:t>
      </w:r>
      <w:r w:rsidR="006A72C2" w:rsidRPr="00653651">
        <w:rPr>
          <w:rFonts w:ascii="Times New Roman" w:hAnsi="Times New Roman" w:cs="Times New Roman"/>
          <w:sz w:val="28"/>
          <w:szCs w:val="28"/>
          <w:lang w:val="uk-UA"/>
        </w:rPr>
        <w:t xml:space="preserve">наявна </w:t>
      </w:r>
      <w:r w:rsidRPr="00653651">
        <w:rPr>
          <w:rFonts w:ascii="Times New Roman" w:hAnsi="Times New Roman" w:cs="Times New Roman"/>
          <w:sz w:val="28"/>
          <w:szCs w:val="28"/>
          <w:lang w:val="uk-UA"/>
        </w:rPr>
        <w:t xml:space="preserve">схема </w:t>
      </w:r>
      <w:r w:rsidR="006A72C2" w:rsidRPr="00653651">
        <w:rPr>
          <w:rFonts w:ascii="Times New Roman" w:hAnsi="Times New Roman" w:cs="Times New Roman"/>
          <w:sz w:val="28"/>
          <w:szCs w:val="28"/>
          <w:lang w:val="uk-UA"/>
        </w:rPr>
        <w:t>лікування не гарантує одужання або є ризик розвитку</w:t>
      </w:r>
      <w:r w:rsidRPr="00653651">
        <w:rPr>
          <w:rFonts w:ascii="Times New Roman" w:hAnsi="Times New Roman" w:cs="Times New Roman"/>
          <w:sz w:val="28"/>
          <w:szCs w:val="28"/>
          <w:lang w:val="uk-UA"/>
        </w:rPr>
        <w:t xml:space="preserve"> додаткової лікарської стійкості.</w:t>
      </w:r>
    </w:p>
    <w:p w14:paraId="35475F86" w14:textId="5B76A527" w:rsidR="00D60DD4" w:rsidRPr="002C48F3" w:rsidRDefault="00A96963" w:rsidP="002C48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180" w:lineRule="atLeast"/>
        <w:ind w:left="720"/>
        <w:rPr>
          <w:rFonts w:ascii="Times" w:hAnsi="Times" w:cs="Times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A9696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Потреба у</w:t>
      </w:r>
      <w:r w:rsidR="002221C1" w:rsidRPr="00A9696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супутньому застосуванні:</w:t>
      </w:r>
      <w:r w:rsidR="002221C1" w:rsidRPr="00A9696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дані про одночасне застосування</w:t>
      </w:r>
      <w:r w:rsidR="002221C1" w:rsidRPr="002221C1">
        <w:rPr>
          <w:rFonts w:ascii="Times New Roman" w:hAnsi="Times New Roman" w:cs="Times New Roman"/>
          <w:sz w:val="28"/>
          <w:szCs w:val="28"/>
          <w:lang w:val="uk-UA"/>
        </w:rPr>
        <w:t xml:space="preserve"> цих двох лікарських за</w:t>
      </w:r>
      <w:r w:rsidR="00794AB1">
        <w:rPr>
          <w:rFonts w:ascii="Times New Roman" w:hAnsi="Times New Roman" w:cs="Times New Roman"/>
          <w:sz w:val="28"/>
          <w:szCs w:val="28"/>
          <w:lang w:val="uk-UA"/>
        </w:rPr>
        <w:t>собів о</w:t>
      </w:r>
      <w:r w:rsidR="00BE39C0">
        <w:rPr>
          <w:rFonts w:ascii="Times New Roman" w:hAnsi="Times New Roman" w:cs="Times New Roman"/>
          <w:sz w:val="28"/>
          <w:szCs w:val="28"/>
          <w:lang w:val="uk-UA"/>
        </w:rPr>
        <w:t>бмежую</w:t>
      </w:r>
      <w:r w:rsidR="002221C1" w:rsidRPr="002221C1">
        <w:rPr>
          <w:rFonts w:ascii="Times New Roman" w:hAnsi="Times New Roman" w:cs="Times New Roman"/>
          <w:sz w:val="28"/>
          <w:szCs w:val="28"/>
          <w:lang w:val="uk-UA"/>
        </w:rPr>
        <w:t xml:space="preserve">ться окремими </w:t>
      </w:r>
      <w:r>
        <w:rPr>
          <w:rFonts w:ascii="Times New Roman" w:hAnsi="Times New Roman" w:cs="Times New Roman"/>
          <w:sz w:val="28"/>
          <w:szCs w:val="28"/>
          <w:lang w:val="uk-UA"/>
        </w:rPr>
        <w:t>звітами, наприклад (23), а звіти щодо</w:t>
      </w:r>
      <w:r w:rsidR="00BE39C0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поточних </w:t>
      </w:r>
      <w:r w:rsidR="002221C1" w:rsidRPr="002221C1">
        <w:rPr>
          <w:rFonts w:ascii="Times New Roman" w:hAnsi="Times New Roman" w:cs="Times New Roman"/>
          <w:sz w:val="28"/>
          <w:szCs w:val="28"/>
          <w:lang w:val="uk-UA"/>
        </w:rPr>
        <w:t>досліджень</w:t>
      </w:r>
      <w:r w:rsidR="00BE39C0">
        <w:rPr>
          <w:rFonts w:ascii="Times New Roman" w:hAnsi="Times New Roman" w:cs="Times New Roman"/>
          <w:sz w:val="28"/>
          <w:szCs w:val="28"/>
          <w:lang w:val="uk-UA"/>
        </w:rPr>
        <w:t xml:space="preserve"> ще тільки будуть опубліковані. Отже, на</w:t>
      </w:r>
      <w:r w:rsidR="002221C1" w:rsidRPr="002221C1">
        <w:rPr>
          <w:rFonts w:ascii="Times New Roman" w:hAnsi="Times New Roman" w:cs="Times New Roman"/>
          <w:sz w:val="28"/>
          <w:szCs w:val="28"/>
          <w:lang w:val="uk-UA"/>
        </w:rPr>
        <w:t xml:space="preserve"> даний час не існує жодних </w:t>
      </w:r>
      <w:r w:rsidR="00BE39C0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рекомендацій ВООЗ щодо даного питання, які були б засновані на клінічних </w:t>
      </w:r>
      <w:r w:rsidR="002221C1" w:rsidRPr="002221C1">
        <w:rPr>
          <w:rFonts w:ascii="Times New Roman" w:hAnsi="Times New Roman" w:cs="Times New Roman"/>
          <w:sz w:val="28"/>
          <w:szCs w:val="28"/>
          <w:lang w:val="uk-UA"/>
        </w:rPr>
        <w:t>доказ</w:t>
      </w:r>
      <w:r w:rsidR="00BE39C0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9472FF" w:rsidRPr="009472FF">
        <w:rPr>
          <w:rFonts w:ascii="Times" w:hAnsi="Times" w:cs="Times"/>
          <w:color w:val="000000"/>
          <w:position w:val="13"/>
          <w:sz w:val="16"/>
          <w:szCs w:val="16"/>
        </w:rPr>
        <w:t xml:space="preserve"> </w:t>
      </w:r>
      <w:proofErr w:type="spellStart"/>
      <w:r w:rsidR="009472FF" w:rsidRPr="009472FF">
        <w:rPr>
          <w:rFonts w:ascii="Times" w:hAnsi="Times" w:cs="Times"/>
          <w:b/>
          <w:color w:val="000000"/>
          <w:position w:val="13"/>
          <w:sz w:val="16"/>
          <w:szCs w:val="16"/>
        </w:rPr>
        <w:t>vii</w:t>
      </w:r>
      <w:proofErr w:type="spellEnd"/>
      <w:r w:rsidR="009472FF" w:rsidRPr="009472FF">
        <w:rPr>
          <w:rFonts w:ascii="Times" w:hAnsi="Times" w:cs="Times"/>
          <w:b/>
          <w:color w:val="000000"/>
          <w:position w:val="13"/>
          <w:sz w:val="16"/>
          <w:szCs w:val="16"/>
        </w:rPr>
        <w:t xml:space="preserve"> </w:t>
      </w:r>
      <w:r w:rsidR="002221C1" w:rsidRPr="009472F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C48F3">
        <w:rPr>
          <w:rFonts w:ascii="Times" w:hAnsi="Times" w:cs="Times"/>
          <w:color w:val="000000"/>
          <w:sz w:val="24"/>
          <w:szCs w:val="24"/>
        </w:rPr>
        <w:t xml:space="preserve"> </w:t>
      </w:r>
      <w:r w:rsidR="002221C1" w:rsidRPr="002221C1">
        <w:rPr>
          <w:rFonts w:ascii="Times New Roman" w:hAnsi="Times New Roman" w:cs="Times New Roman"/>
          <w:sz w:val="28"/>
          <w:szCs w:val="28"/>
          <w:lang w:val="uk-UA"/>
        </w:rPr>
        <w:t>Одночасне застосування</w:t>
      </w:r>
      <w:r w:rsidR="000B6F9A">
        <w:rPr>
          <w:rFonts w:ascii="Times New Roman" w:hAnsi="Times New Roman" w:cs="Times New Roman"/>
          <w:sz w:val="28"/>
          <w:szCs w:val="28"/>
          <w:lang w:val="uk-UA"/>
        </w:rPr>
        <w:t xml:space="preserve"> цих ліків </w:t>
      </w:r>
      <w:r w:rsidR="002D7C9B">
        <w:rPr>
          <w:rFonts w:ascii="Times New Roman" w:hAnsi="Times New Roman" w:cs="Times New Roman"/>
          <w:sz w:val="28"/>
          <w:szCs w:val="28"/>
          <w:lang w:val="uk-UA"/>
        </w:rPr>
        <w:t xml:space="preserve">не вважається </w:t>
      </w:r>
      <w:r w:rsidR="000B6F9A"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="002D7C9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B6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F9A" w:rsidRPr="000B6F9A">
        <w:rPr>
          <w:rFonts w:ascii="Times New Roman" w:hAnsi="Times New Roman" w:cs="Times New Roman"/>
          <w:sz w:val="28"/>
          <w:szCs w:val="28"/>
          <w:lang w:val="uk-UA"/>
        </w:rPr>
        <w:t>поза зареєстрованими показаннями</w:t>
      </w:r>
      <w:r w:rsidR="002D7C9B">
        <w:rPr>
          <w:rFonts w:ascii="Times New Roman" w:hAnsi="Times New Roman" w:cs="Times New Roman"/>
          <w:sz w:val="28"/>
          <w:szCs w:val="28"/>
          <w:lang w:val="uk-UA"/>
        </w:rPr>
        <w:t xml:space="preserve"> і повинно розглядатися тоді, коли це є останньою надією 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2D7C9B">
        <w:rPr>
          <w:rFonts w:ascii="Times New Roman" w:hAnsi="Times New Roman" w:cs="Times New Roman"/>
          <w:sz w:val="28"/>
          <w:szCs w:val="28"/>
          <w:lang w:val="uk-UA"/>
        </w:rPr>
        <w:t xml:space="preserve">пацієнтів з історією медичної </w:t>
      </w:r>
      <w:r w:rsidR="002221C1" w:rsidRPr="002221C1">
        <w:rPr>
          <w:rFonts w:ascii="Times New Roman" w:hAnsi="Times New Roman" w:cs="Times New Roman"/>
          <w:sz w:val="28"/>
          <w:szCs w:val="28"/>
          <w:lang w:val="uk-UA"/>
        </w:rPr>
        <w:t>стійкості, непереносимості препа</w:t>
      </w:r>
      <w:r w:rsidR="002C48F3">
        <w:rPr>
          <w:rFonts w:ascii="Times New Roman" w:hAnsi="Times New Roman" w:cs="Times New Roman"/>
          <w:sz w:val="28"/>
          <w:szCs w:val="28"/>
          <w:lang w:val="uk-UA"/>
        </w:rPr>
        <w:t>рату або серйозних побічних реакцій</w:t>
      </w:r>
      <w:r w:rsidR="002D7C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221C1" w:rsidRPr="002221C1">
        <w:rPr>
          <w:rFonts w:ascii="Times New Roman" w:hAnsi="Times New Roman" w:cs="Times New Roman"/>
          <w:sz w:val="28"/>
          <w:szCs w:val="28"/>
          <w:lang w:val="uk-UA"/>
        </w:rPr>
        <w:t>Такі схеми</w:t>
      </w:r>
      <w:r w:rsidR="002D7C9B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</w:t>
      </w:r>
      <w:r w:rsidR="002221C1" w:rsidRPr="002221C1">
        <w:rPr>
          <w:rFonts w:ascii="Times New Roman" w:hAnsi="Times New Roman" w:cs="Times New Roman"/>
          <w:sz w:val="28"/>
          <w:szCs w:val="28"/>
          <w:lang w:val="uk-UA"/>
        </w:rPr>
        <w:t xml:space="preserve"> слід використовувати з</w:t>
      </w:r>
      <w:r w:rsidR="002D7C9B">
        <w:rPr>
          <w:rFonts w:ascii="Times New Roman" w:hAnsi="Times New Roman" w:cs="Times New Roman"/>
          <w:sz w:val="28"/>
          <w:szCs w:val="28"/>
          <w:lang w:val="uk-UA"/>
        </w:rPr>
        <w:t>а умов дотримання етичних норм</w:t>
      </w:r>
      <w:r w:rsidR="002221C1" w:rsidRPr="002221C1">
        <w:rPr>
          <w:rFonts w:ascii="Times New Roman" w:hAnsi="Times New Roman" w:cs="Times New Roman"/>
          <w:sz w:val="28"/>
          <w:szCs w:val="28"/>
          <w:lang w:val="uk-UA"/>
        </w:rPr>
        <w:t xml:space="preserve"> (11), (22)</w:t>
      </w:r>
    </w:p>
    <w:p w14:paraId="7CDA95FD" w14:textId="68906A77" w:rsidR="00723F55" w:rsidRPr="00720E24" w:rsidRDefault="002C48F3" w:rsidP="009472F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</w:t>
      </w:r>
      <w:r w:rsidR="00720E24" w:rsidRPr="00720E2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раща практика застосування бедакві</w:t>
      </w:r>
      <w:r w:rsidR="00723F55" w:rsidRPr="00720E2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ліну та </w:t>
      </w:r>
      <w:proofErr w:type="spellStart"/>
      <w:r w:rsidR="00583B80" w:rsidRPr="00720E2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деламанід</w:t>
      </w:r>
      <w:r w:rsidR="00583B8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а</w:t>
      </w:r>
      <w:proofErr w:type="spellEnd"/>
      <w:r w:rsidR="00583B80" w:rsidRPr="00720E2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720E24" w:rsidRPr="00720E2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поза зареєстрованими показаннями</w:t>
      </w:r>
    </w:p>
    <w:p w14:paraId="5CC2974A" w14:textId="075148E7" w:rsidR="009472FF" w:rsidRDefault="00723F55" w:rsidP="00723F55">
      <w:pPr>
        <w:pBdr>
          <w:bottom w:val="single" w:sz="6" w:space="1" w:color="auto"/>
        </w:pBd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723F55">
        <w:rPr>
          <w:rFonts w:ascii="Times New Roman" w:hAnsi="Times New Roman" w:cs="Times New Roman"/>
          <w:sz w:val="28"/>
          <w:szCs w:val="28"/>
          <w:lang w:val="uk-UA"/>
        </w:rPr>
        <w:t xml:space="preserve">• Перш ніж </w:t>
      </w:r>
      <w:r w:rsidRPr="00720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вдаватися до </w:t>
      </w:r>
      <w:r w:rsidR="00720E24" w:rsidRPr="00720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застосування бедаквіліну та </w:t>
      </w:r>
      <w:proofErr w:type="spellStart"/>
      <w:r w:rsidR="00583B80" w:rsidRPr="00720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деламанід</w:t>
      </w:r>
      <w:r w:rsidR="00583B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="00583B80" w:rsidRPr="00720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20E24" w:rsidRPr="00720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поза зареєстрованими показаннями</w:t>
      </w:r>
      <w:r w:rsidRPr="00720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20E24">
        <w:rPr>
          <w:rFonts w:ascii="Times New Roman" w:hAnsi="Times New Roman" w:cs="Times New Roman"/>
          <w:sz w:val="28"/>
          <w:szCs w:val="28"/>
          <w:lang w:val="uk-UA"/>
        </w:rPr>
        <w:t>слід вичерпати всі інші можливі</w:t>
      </w:r>
      <w:r w:rsidRPr="00723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E24">
        <w:rPr>
          <w:rFonts w:ascii="Times New Roman" w:hAnsi="Times New Roman" w:cs="Times New Roman"/>
          <w:sz w:val="28"/>
          <w:szCs w:val="28"/>
          <w:lang w:val="uk-UA"/>
        </w:rPr>
        <w:t>наявні терапевтичні заходи</w:t>
      </w:r>
      <w:r w:rsidRPr="00723F55">
        <w:rPr>
          <w:rFonts w:ascii="Times New Roman" w:hAnsi="Times New Roman" w:cs="Times New Roman"/>
          <w:sz w:val="28"/>
          <w:szCs w:val="28"/>
          <w:lang w:val="uk-UA"/>
        </w:rPr>
        <w:t xml:space="preserve">. Якщо схема </w:t>
      </w:r>
      <w:r w:rsidR="00443E3C">
        <w:rPr>
          <w:rFonts w:ascii="Times New Roman" w:hAnsi="Times New Roman" w:cs="Times New Roman"/>
          <w:sz w:val="28"/>
          <w:szCs w:val="28"/>
          <w:lang w:val="uk-UA"/>
        </w:rPr>
        <w:t>лікування не працює, може</w:t>
      </w:r>
    </w:p>
    <w:p w14:paraId="71AABD3B" w14:textId="77777777" w:rsidR="002C48F3" w:rsidRDefault="002C48F3" w:rsidP="00723F55">
      <w:pPr>
        <w:pBdr>
          <w:bottom w:val="single" w:sz="6" w:space="1" w:color="auto"/>
        </w:pBd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DD93DB1" w14:textId="18405EFE" w:rsidR="009472FF" w:rsidRDefault="00EE1736" w:rsidP="00723F55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EE1736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lastRenderedPageBreak/>
        <w:t xml:space="preserve">vii </w:t>
      </w:r>
      <w:r w:rsidRPr="00EE1736">
        <w:rPr>
          <w:rFonts w:ascii="Times New Roman" w:hAnsi="Times New Roman" w:cs="Times New Roman"/>
          <w:sz w:val="18"/>
          <w:szCs w:val="18"/>
          <w:lang w:val="uk-UA"/>
        </w:rPr>
        <w:t xml:space="preserve">Основною проблемою є </w:t>
      </w:r>
      <w:proofErr w:type="spellStart"/>
      <w:r w:rsidRPr="00EE1736">
        <w:rPr>
          <w:rFonts w:ascii="Times New Roman" w:hAnsi="Times New Roman" w:cs="Times New Roman"/>
          <w:sz w:val="18"/>
          <w:szCs w:val="18"/>
          <w:lang w:val="uk-UA"/>
        </w:rPr>
        <w:t>аддитивний</w:t>
      </w:r>
      <w:proofErr w:type="spellEnd"/>
      <w:r w:rsidRPr="00EE1736">
        <w:rPr>
          <w:rFonts w:ascii="Times New Roman" w:hAnsi="Times New Roman" w:cs="Times New Roman"/>
          <w:sz w:val="18"/>
          <w:szCs w:val="18"/>
          <w:lang w:val="uk-UA"/>
        </w:rPr>
        <w:t xml:space="preserve"> ефект, який ці два лікарські засоби мають на серцеву </w:t>
      </w:r>
      <w:proofErr w:type="spellStart"/>
      <w:r w:rsidRPr="00EE1736">
        <w:rPr>
          <w:rFonts w:ascii="Times New Roman" w:hAnsi="Times New Roman" w:cs="Times New Roman"/>
          <w:sz w:val="18"/>
          <w:szCs w:val="18"/>
          <w:lang w:val="uk-UA"/>
        </w:rPr>
        <w:t>діяльность</w:t>
      </w:r>
      <w:proofErr w:type="spellEnd"/>
      <w:r w:rsidRPr="00EE1736">
        <w:rPr>
          <w:rFonts w:ascii="Times New Roman" w:hAnsi="Times New Roman" w:cs="Times New Roman"/>
          <w:sz w:val="18"/>
          <w:szCs w:val="18"/>
          <w:lang w:val="uk-UA"/>
        </w:rPr>
        <w:t>, оскільки обидва агенти пов'язані з подовженням інтервалу QT. Інша, поки невідома, взаємодія ліків також не може бути виключена.</w:t>
      </w:r>
      <w:r w:rsidR="00443E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4C1486" w14:textId="77777777" w:rsidR="009472FF" w:rsidRDefault="009472FF" w:rsidP="00723F55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1BC3823" w14:textId="77777777" w:rsidR="009472FF" w:rsidRDefault="009472FF" w:rsidP="00723F55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8B8FF32" w14:textId="02206840" w:rsidR="00723F55" w:rsidRPr="00723F55" w:rsidRDefault="00443E3C" w:rsidP="00723F55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знадобитися її повний перегляд для забезпечення оптимізації її компонентів і подолання подальшого розвитку</w:t>
      </w:r>
      <w:r w:rsidR="00723F55" w:rsidRPr="00723F55">
        <w:rPr>
          <w:rFonts w:ascii="Times New Roman" w:hAnsi="Times New Roman" w:cs="Times New Roman"/>
          <w:sz w:val="28"/>
          <w:szCs w:val="28"/>
          <w:lang w:val="uk-UA"/>
        </w:rPr>
        <w:t xml:space="preserve"> стійкості до ліків.</w:t>
      </w:r>
    </w:p>
    <w:p w14:paraId="1C231DC6" w14:textId="5A4425C7" w:rsidR="00723F55" w:rsidRPr="00723F55" w:rsidRDefault="00723F55" w:rsidP="00723F55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723F55">
        <w:rPr>
          <w:rFonts w:ascii="Times New Roman" w:hAnsi="Times New Roman" w:cs="Times New Roman"/>
          <w:sz w:val="28"/>
          <w:szCs w:val="28"/>
          <w:lang w:val="uk-UA"/>
        </w:rPr>
        <w:t xml:space="preserve">• Наприклад, </w:t>
      </w:r>
      <w:r w:rsidR="004C6C32">
        <w:rPr>
          <w:rFonts w:ascii="Times New Roman" w:hAnsi="Times New Roman" w:cs="Times New Roman"/>
          <w:sz w:val="28"/>
          <w:szCs w:val="28"/>
          <w:lang w:val="uk-UA"/>
        </w:rPr>
        <w:t xml:space="preserve">є важливим наступне: щоб пацієнт приймав всі ліки зазначені в його схемі </w:t>
      </w:r>
      <w:r w:rsidRPr="00723F55">
        <w:rPr>
          <w:rFonts w:ascii="Times New Roman" w:hAnsi="Times New Roman" w:cs="Times New Roman"/>
          <w:sz w:val="28"/>
          <w:szCs w:val="28"/>
          <w:lang w:val="uk-UA"/>
        </w:rPr>
        <w:t>лікування; що якість супутніх ліків гарантується (включаючи термін придатності та умови зберіга</w:t>
      </w:r>
      <w:r w:rsidR="00437920">
        <w:rPr>
          <w:rFonts w:ascii="Times New Roman" w:hAnsi="Times New Roman" w:cs="Times New Roman"/>
          <w:sz w:val="28"/>
          <w:szCs w:val="28"/>
          <w:lang w:val="uk-UA"/>
        </w:rPr>
        <w:t>ння); що дози оптимізовані для уникнення</w:t>
      </w:r>
      <w:r w:rsidRPr="00723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3F55">
        <w:rPr>
          <w:rFonts w:ascii="Times New Roman" w:hAnsi="Times New Roman" w:cs="Times New Roman"/>
          <w:sz w:val="28"/>
          <w:szCs w:val="28"/>
          <w:lang w:val="uk-UA"/>
        </w:rPr>
        <w:t>су</w:t>
      </w:r>
      <w:r w:rsidR="00437920">
        <w:rPr>
          <w:rFonts w:ascii="Times New Roman" w:hAnsi="Times New Roman" w:cs="Times New Roman"/>
          <w:sz w:val="28"/>
          <w:szCs w:val="28"/>
          <w:lang w:val="uk-UA"/>
        </w:rPr>
        <w:t>бтерапевтичних</w:t>
      </w:r>
      <w:proofErr w:type="spellEnd"/>
      <w:r w:rsidR="00437920">
        <w:rPr>
          <w:rFonts w:ascii="Times New Roman" w:hAnsi="Times New Roman" w:cs="Times New Roman"/>
          <w:sz w:val="28"/>
          <w:szCs w:val="28"/>
          <w:lang w:val="uk-UA"/>
        </w:rPr>
        <w:t xml:space="preserve"> рівнів і</w:t>
      </w:r>
      <w:r w:rsidRPr="00723F55">
        <w:rPr>
          <w:rFonts w:ascii="Times New Roman" w:hAnsi="Times New Roman" w:cs="Times New Roman"/>
          <w:sz w:val="28"/>
          <w:szCs w:val="28"/>
          <w:lang w:val="uk-UA"/>
        </w:rPr>
        <w:t xml:space="preserve"> взаємодій, які можуть знизити ефективність</w:t>
      </w:r>
      <w:r w:rsidR="00437920">
        <w:rPr>
          <w:rFonts w:ascii="Times New Roman" w:hAnsi="Times New Roman" w:cs="Times New Roman"/>
          <w:sz w:val="28"/>
          <w:szCs w:val="28"/>
          <w:lang w:val="uk-UA"/>
        </w:rPr>
        <w:t xml:space="preserve"> будь-якого лікарського засобу, включеного до режиму</w:t>
      </w:r>
      <w:r w:rsidRPr="00723F55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лікування.</w:t>
      </w:r>
    </w:p>
    <w:p w14:paraId="0A39EB08" w14:textId="118038FC" w:rsidR="00723F55" w:rsidRPr="00723F55" w:rsidRDefault="00723F55" w:rsidP="00723F55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723F55">
        <w:rPr>
          <w:rFonts w:ascii="Times New Roman" w:hAnsi="Times New Roman" w:cs="Times New Roman"/>
          <w:sz w:val="28"/>
          <w:szCs w:val="28"/>
          <w:lang w:val="uk-UA"/>
        </w:rPr>
        <w:t xml:space="preserve">• Рішення про </w:t>
      </w:r>
      <w:r w:rsidR="007F7942" w:rsidRPr="00720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застосування бедаквіліну та </w:t>
      </w:r>
      <w:proofErr w:type="spellStart"/>
      <w:r w:rsidR="007F7942" w:rsidRPr="00720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деламаніу</w:t>
      </w:r>
      <w:proofErr w:type="spellEnd"/>
      <w:r w:rsidR="007F7942" w:rsidRPr="00720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поза зареєстрованими показаннями</w:t>
      </w:r>
      <w:r w:rsidR="007F7942" w:rsidRPr="00723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3F55">
        <w:rPr>
          <w:rFonts w:ascii="Times New Roman" w:hAnsi="Times New Roman" w:cs="Times New Roman"/>
          <w:sz w:val="28"/>
          <w:szCs w:val="28"/>
          <w:lang w:val="uk-UA"/>
        </w:rPr>
        <w:t>слід приймати в кожному</w:t>
      </w:r>
      <w:r w:rsidR="00BF0057">
        <w:rPr>
          <w:rFonts w:ascii="Times New Roman" w:hAnsi="Times New Roman" w:cs="Times New Roman"/>
          <w:sz w:val="28"/>
          <w:szCs w:val="28"/>
          <w:lang w:val="uk-UA"/>
        </w:rPr>
        <w:t xml:space="preserve"> окремому випадку. Рекоме</w:t>
      </w:r>
      <w:r w:rsidR="00A53FC3">
        <w:rPr>
          <w:rFonts w:ascii="Times New Roman" w:hAnsi="Times New Roman" w:cs="Times New Roman"/>
          <w:sz w:val="28"/>
          <w:szCs w:val="28"/>
          <w:lang w:val="uk-UA"/>
        </w:rPr>
        <w:t xml:space="preserve">ндовані </w:t>
      </w:r>
      <w:r w:rsidRPr="00723F55">
        <w:rPr>
          <w:rFonts w:ascii="Times New Roman" w:hAnsi="Times New Roman" w:cs="Times New Roman"/>
          <w:sz w:val="28"/>
          <w:szCs w:val="28"/>
          <w:lang w:val="uk-UA"/>
        </w:rPr>
        <w:t>консул</w:t>
      </w:r>
      <w:r w:rsidR="00A53FC3">
        <w:rPr>
          <w:rFonts w:ascii="Times New Roman" w:hAnsi="Times New Roman" w:cs="Times New Roman"/>
          <w:sz w:val="28"/>
          <w:szCs w:val="28"/>
          <w:lang w:val="uk-UA"/>
        </w:rPr>
        <w:t xml:space="preserve">ьтації з експертами щодо лікування МР </w:t>
      </w:r>
      <w:r w:rsidRPr="00723F55">
        <w:rPr>
          <w:rFonts w:ascii="Times New Roman" w:hAnsi="Times New Roman" w:cs="Times New Roman"/>
          <w:sz w:val="28"/>
          <w:szCs w:val="28"/>
          <w:lang w:val="uk-UA"/>
        </w:rPr>
        <w:t>ТБ (наприкла</w:t>
      </w:r>
      <w:r w:rsidR="00A53FC3">
        <w:rPr>
          <w:rFonts w:ascii="Times New Roman" w:hAnsi="Times New Roman" w:cs="Times New Roman"/>
          <w:sz w:val="28"/>
          <w:szCs w:val="28"/>
          <w:lang w:val="uk-UA"/>
        </w:rPr>
        <w:t>д, національні комісії з МР ТБ</w:t>
      </w:r>
      <w:r w:rsidRPr="00723F5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AFA4AED" w14:textId="15C1882B" w:rsidR="00723F55" w:rsidRPr="00723F55" w:rsidRDefault="00723F55" w:rsidP="009078E4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723F55">
        <w:rPr>
          <w:rFonts w:ascii="Times New Roman" w:hAnsi="Times New Roman" w:cs="Times New Roman"/>
          <w:sz w:val="28"/>
          <w:szCs w:val="28"/>
          <w:lang w:val="uk-UA"/>
        </w:rPr>
        <w:t xml:space="preserve">• Пацієнти повинні бути повністю інформовані про </w:t>
      </w:r>
      <w:r w:rsidR="009078E4">
        <w:rPr>
          <w:rFonts w:ascii="Times New Roman" w:hAnsi="Times New Roman" w:cs="Times New Roman"/>
          <w:sz w:val="28"/>
          <w:szCs w:val="28"/>
          <w:lang w:val="uk-UA"/>
        </w:rPr>
        <w:t xml:space="preserve">можливі </w:t>
      </w:r>
      <w:r w:rsidRPr="00723F55">
        <w:rPr>
          <w:rFonts w:ascii="Times New Roman" w:hAnsi="Times New Roman" w:cs="Times New Roman"/>
          <w:sz w:val="28"/>
          <w:szCs w:val="28"/>
          <w:lang w:val="uk-UA"/>
        </w:rPr>
        <w:t>наслідки</w:t>
      </w:r>
      <w:r w:rsidR="009078E4">
        <w:rPr>
          <w:rFonts w:ascii="Times New Roman" w:hAnsi="Times New Roman" w:cs="Times New Roman"/>
          <w:sz w:val="28"/>
          <w:szCs w:val="28"/>
          <w:lang w:val="uk-UA"/>
        </w:rPr>
        <w:t xml:space="preserve"> вживання відповідних препаратів та надавати інформовану</w:t>
      </w:r>
      <w:r w:rsidRPr="00723F55">
        <w:rPr>
          <w:rFonts w:ascii="Times New Roman" w:hAnsi="Times New Roman" w:cs="Times New Roman"/>
          <w:sz w:val="28"/>
          <w:szCs w:val="28"/>
          <w:lang w:val="uk-UA"/>
        </w:rPr>
        <w:t xml:space="preserve"> згоду (згідно з місцевими стандартами) щодо </w:t>
      </w:r>
      <w:r w:rsidR="009078E4" w:rsidRPr="00720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застосування бедаквіліну та </w:t>
      </w:r>
      <w:proofErr w:type="spellStart"/>
      <w:r w:rsidR="009078E4" w:rsidRPr="00720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деламаніду</w:t>
      </w:r>
      <w:proofErr w:type="spellEnd"/>
      <w:r w:rsidR="009078E4" w:rsidRPr="00720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поза зареєстрованими показаннями</w:t>
      </w:r>
      <w:r w:rsidRPr="00723F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078E4">
        <w:rPr>
          <w:rFonts w:ascii="Times New Roman" w:hAnsi="Times New Roman" w:cs="Times New Roman"/>
          <w:sz w:val="28"/>
          <w:szCs w:val="28"/>
          <w:lang w:val="uk-UA"/>
        </w:rPr>
        <w:t xml:space="preserve">У випадку, коли дитина не може надати згоду, її надають батьки або законні опікуни та </w:t>
      </w:r>
      <w:r w:rsidR="009078E4" w:rsidRPr="002221C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78E4">
        <w:rPr>
          <w:rFonts w:ascii="Times New Roman" w:hAnsi="Times New Roman" w:cs="Times New Roman"/>
          <w:sz w:val="28"/>
          <w:szCs w:val="28"/>
          <w:lang w:val="uk-UA"/>
        </w:rPr>
        <w:t>а умов дотримання етичних норм (</w:t>
      </w:r>
      <w:r w:rsidRPr="00723F55">
        <w:rPr>
          <w:rFonts w:ascii="Times New Roman" w:hAnsi="Times New Roman" w:cs="Times New Roman"/>
          <w:sz w:val="28"/>
          <w:szCs w:val="28"/>
          <w:lang w:val="uk-UA"/>
        </w:rPr>
        <w:t>22).</w:t>
      </w:r>
    </w:p>
    <w:p w14:paraId="1A08EBCC" w14:textId="557DBB82" w:rsidR="00F37646" w:rsidRDefault="00D355A0" w:rsidP="00F37646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Ретельний моніторинг пацієнтів для можливості спостереження за реакцією на лікування, а також моніторинг стосовно безпечного застосування </w:t>
      </w:r>
      <w:r w:rsidR="00723F55" w:rsidRPr="00723F55">
        <w:rPr>
          <w:rFonts w:ascii="Times New Roman" w:hAnsi="Times New Roman" w:cs="Times New Roman"/>
          <w:sz w:val="28"/>
          <w:szCs w:val="28"/>
          <w:lang w:val="uk-UA"/>
        </w:rPr>
        <w:t xml:space="preserve">лікарських </w:t>
      </w:r>
      <w:r w:rsidR="002E230F">
        <w:rPr>
          <w:rFonts w:ascii="Times New Roman" w:hAnsi="Times New Roman" w:cs="Times New Roman"/>
          <w:sz w:val="28"/>
          <w:szCs w:val="28"/>
          <w:lang w:val="uk-UA"/>
        </w:rPr>
        <w:t>засобів (</w:t>
      </w:r>
      <w:proofErr w:type="spellStart"/>
      <w:r w:rsidR="002E230F">
        <w:rPr>
          <w:rFonts w:ascii="Times New Roman" w:hAnsi="Times New Roman" w:cs="Times New Roman"/>
          <w:sz w:val="28"/>
          <w:szCs w:val="28"/>
          <w:lang w:val="uk-UA"/>
        </w:rPr>
        <w:t>dDSM</w:t>
      </w:r>
      <w:proofErr w:type="spellEnd"/>
      <w:r w:rsidR="002E230F">
        <w:rPr>
          <w:rFonts w:ascii="Times New Roman" w:hAnsi="Times New Roman" w:cs="Times New Roman"/>
          <w:sz w:val="28"/>
          <w:szCs w:val="28"/>
          <w:lang w:val="uk-UA"/>
        </w:rPr>
        <w:t xml:space="preserve">) є обов'язковими також для </w:t>
      </w:r>
      <w:r w:rsidRPr="00720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застосування бедаквіліну та </w:t>
      </w:r>
      <w:proofErr w:type="spellStart"/>
      <w:r w:rsidRPr="00720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деламаніду</w:t>
      </w:r>
      <w:proofErr w:type="spellEnd"/>
      <w:r w:rsidRPr="00720E2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поза зареєстрованими показаннями</w:t>
      </w:r>
      <w:r w:rsidRPr="00723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30F">
        <w:rPr>
          <w:rFonts w:ascii="Times New Roman" w:hAnsi="Times New Roman" w:cs="Times New Roman"/>
          <w:sz w:val="28"/>
          <w:szCs w:val="28"/>
          <w:lang w:val="uk-UA"/>
        </w:rPr>
        <w:t xml:space="preserve">(24). Необхідно збирати докладні дані щодо будь-якого </w:t>
      </w:r>
      <w:r w:rsidR="00723F55" w:rsidRPr="00723F55">
        <w:rPr>
          <w:rFonts w:ascii="Times New Roman" w:hAnsi="Times New Roman" w:cs="Times New Roman"/>
          <w:sz w:val="28"/>
          <w:szCs w:val="28"/>
          <w:lang w:val="uk-UA"/>
        </w:rPr>
        <w:t>досвіду лікування, оскільки</w:t>
      </w:r>
      <w:r w:rsidR="002E230F">
        <w:rPr>
          <w:rFonts w:ascii="Times New Roman" w:hAnsi="Times New Roman" w:cs="Times New Roman"/>
          <w:sz w:val="28"/>
          <w:szCs w:val="28"/>
          <w:lang w:val="uk-UA"/>
        </w:rPr>
        <w:t xml:space="preserve"> це може бути дуже корисним з точки зору </w:t>
      </w:r>
      <w:r w:rsidR="00723F55" w:rsidRPr="00723F55">
        <w:rPr>
          <w:rFonts w:ascii="Times New Roman" w:hAnsi="Times New Roman" w:cs="Times New Roman"/>
          <w:sz w:val="28"/>
          <w:szCs w:val="28"/>
          <w:lang w:val="uk-UA"/>
        </w:rPr>
        <w:t xml:space="preserve">інформування </w:t>
      </w:r>
      <w:r w:rsidR="002E230F">
        <w:rPr>
          <w:rFonts w:ascii="Times New Roman" w:hAnsi="Times New Roman" w:cs="Times New Roman"/>
          <w:sz w:val="28"/>
          <w:szCs w:val="28"/>
          <w:lang w:val="uk-UA"/>
        </w:rPr>
        <w:t xml:space="preserve">та подальшої розробки </w:t>
      </w:r>
      <w:r w:rsidR="00723F55" w:rsidRPr="00723F55">
        <w:rPr>
          <w:rFonts w:ascii="Times New Roman" w:hAnsi="Times New Roman" w:cs="Times New Roman"/>
          <w:sz w:val="28"/>
          <w:szCs w:val="28"/>
          <w:lang w:val="uk-UA"/>
        </w:rPr>
        <w:t>як місцевої, так і глобальної політики</w:t>
      </w:r>
      <w:r w:rsidR="002E230F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застосування лікарських препаратів</w:t>
      </w:r>
      <w:r w:rsidR="00723F55" w:rsidRPr="00723F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3B3EEA" w14:textId="77777777" w:rsidR="00F37646" w:rsidRDefault="00F37646" w:rsidP="00F37646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4E967DC" w14:textId="77777777" w:rsidR="00F37646" w:rsidRDefault="00F37646" w:rsidP="00F37646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9421607" w14:textId="77777777" w:rsidR="00F37646" w:rsidRDefault="00F37646" w:rsidP="00F37646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4753B95F" w14:textId="77777777" w:rsidR="00F37646" w:rsidRDefault="00F37646" w:rsidP="00F37646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1FB5F81" w14:textId="77777777" w:rsidR="00F37646" w:rsidRDefault="00F37646" w:rsidP="00F37646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756C153" w14:textId="77777777" w:rsidR="00F37646" w:rsidRPr="0032518E" w:rsidRDefault="00F37646" w:rsidP="0032518E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33C744F4" w14:textId="77777777" w:rsidR="00F37646" w:rsidRDefault="00F37646" w:rsidP="00F37646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EAD1902" w14:textId="768AF790" w:rsidR="00F37646" w:rsidRPr="00AC292B" w:rsidRDefault="00AC292B" w:rsidP="00855F0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C292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 xml:space="preserve">Рисунок 1. </w:t>
      </w:r>
      <w:r w:rsidR="00855F0E" w:rsidRPr="00AC292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</w:t>
      </w:r>
      <w:r w:rsidRPr="00AC292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оротка схема застосування лікарських препаратів поза зареєстрованими показаннями</w:t>
      </w:r>
    </w:p>
    <w:p w14:paraId="538F59A5" w14:textId="77777777" w:rsidR="00F37646" w:rsidRDefault="00F37646" w:rsidP="00F37646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Ind w:w="708" w:type="dxa"/>
        <w:tblLook w:val="04A0" w:firstRow="1" w:lastRow="0" w:firstColumn="1" w:lastColumn="0" w:noHBand="0" w:noVBand="1"/>
      </w:tblPr>
      <w:tblGrid>
        <w:gridCol w:w="8863"/>
      </w:tblGrid>
      <w:tr w:rsidR="00F37646" w14:paraId="0DD1A5DA" w14:textId="77777777" w:rsidTr="004B4680">
        <w:trPr>
          <w:trHeight w:val="800"/>
        </w:trPr>
        <w:tc>
          <w:tcPr>
            <w:tcW w:w="9571" w:type="dxa"/>
          </w:tcPr>
          <w:p w14:paraId="242DD859" w14:textId="54666816" w:rsidR="00F37646" w:rsidRPr="00AC292B" w:rsidRDefault="00AC292B" w:rsidP="004235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 буде цей лікарський </w:t>
            </w:r>
            <w:proofErr w:type="spellStart"/>
            <w:r w:rsidR="00423568">
              <w:rPr>
                <w:rFonts w:ascii="Times New Roman" w:hAnsi="Times New Roman" w:cs="Times New Roman"/>
                <w:sz w:val="28"/>
                <w:szCs w:val="28"/>
              </w:rPr>
              <w:t>зас</w:t>
            </w:r>
            <w:r w:rsidR="00423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іб</w:t>
            </w:r>
            <w:proofErr w:type="spellEnd"/>
            <w:r w:rsidR="00423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застосовуватися відповідно до його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зареєстрованих</w:t>
            </w:r>
            <w:r w:rsidRPr="00AC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показан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ь, віку пацієнта, рекомендованого дозування, періоду та </w:t>
            </w:r>
            <w:r w:rsidR="005A0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способу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застосування?</w:t>
            </w:r>
          </w:p>
        </w:tc>
      </w:tr>
    </w:tbl>
    <w:p w14:paraId="7D4011DE" w14:textId="1DFA5ADA" w:rsidR="00A60571" w:rsidRPr="00A60571" w:rsidRDefault="00A60571" w:rsidP="00A60571">
      <w:pPr>
        <w:spacing w:after="0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tbl>
      <w:tblPr>
        <w:tblStyle w:val="a8"/>
        <w:tblW w:w="0" w:type="auto"/>
        <w:tblInd w:w="538" w:type="dxa"/>
        <w:tblLook w:val="04A0" w:firstRow="1" w:lastRow="0" w:firstColumn="1" w:lastColumn="0" w:noHBand="0" w:noVBand="1"/>
      </w:tblPr>
      <w:tblGrid>
        <w:gridCol w:w="3827"/>
      </w:tblGrid>
      <w:tr w:rsidR="00A60571" w:rsidRPr="004D7470" w14:paraId="312E3A42" w14:textId="77777777" w:rsidTr="00A60571">
        <w:trPr>
          <w:trHeight w:val="1839"/>
        </w:trPr>
        <w:tc>
          <w:tcPr>
            <w:tcW w:w="3827" w:type="dxa"/>
          </w:tcPr>
          <w:p w14:paraId="471AACD1" w14:textId="07B912DE" w:rsidR="00F37646" w:rsidRPr="00E06845" w:rsidRDefault="00A60571" w:rsidP="00E0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68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</w:t>
            </w:r>
          </w:p>
          <w:p w14:paraId="2CAE2E2D" w14:textId="32D671D4" w:rsidR="00A60571" w:rsidRDefault="00A60571" w:rsidP="00E06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Зареєстрований </w:t>
            </w:r>
            <w:r w:rsidR="002C48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лікарський препарат застосовується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поза його </w:t>
            </w:r>
            <w:r w:rsidR="00644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зареєстрованими</w:t>
            </w:r>
            <w:r w:rsidRPr="00AC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показан</w:t>
            </w:r>
            <w:r w:rsidR="00644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нями</w:t>
            </w:r>
            <w:r w:rsidRPr="00AC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06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для інших </w:t>
            </w:r>
            <w:r w:rsidRPr="00AC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ь, </w:t>
            </w:r>
            <w:r w:rsidR="00E068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поза зазначених віку пацієнта,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дозування, періоду та способу застосування</w:t>
            </w:r>
          </w:p>
        </w:tc>
      </w:tr>
    </w:tbl>
    <w:tbl>
      <w:tblPr>
        <w:tblpPr w:leftFromText="180" w:rightFromText="180" w:vertAnchor="text" w:tblpX="4718" w:tblpY="-2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</w:tblGrid>
      <w:tr w:rsidR="00423568" w14:paraId="3634B47C" w14:textId="77777777" w:rsidTr="00423568">
        <w:trPr>
          <w:trHeight w:val="1351"/>
        </w:trPr>
        <w:tc>
          <w:tcPr>
            <w:tcW w:w="4215" w:type="dxa"/>
          </w:tcPr>
          <w:p w14:paraId="6E79D991" w14:textId="77777777" w:rsidR="00423568" w:rsidRPr="00E06845" w:rsidRDefault="00423568" w:rsidP="004235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68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  <w:p w14:paraId="539C8204" w14:textId="77777777" w:rsidR="00423568" w:rsidRDefault="00423568" w:rsidP="004235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Продовжуйте звичайну процедуру отримання згоди на лікування</w:t>
            </w:r>
          </w:p>
        </w:tc>
      </w:tr>
    </w:tbl>
    <w:p w14:paraId="4DF31881" w14:textId="4566365B" w:rsidR="00F37646" w:rsidRDefault="00A60571" w:rsidP="00F376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tbl>
      <w:tblPr>
        <w:tblW w:w="756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4"/>
      </w:tblGrid>
      <w:tr w:rsidR="00F37646" w14:paraId="6F6DED33" w14:textId="77777777" w:rsidTr="004D7470">
        <w:trPr>
          <w:trHeight w:val="691"/>
        </w:trPr>
        <w:tc>
          <w:tcPr>
            <w:tcW w:w="7564" w:type="dxa"/>
          </w:tcPr>
          <w:p w14:paraId="2AFB200D" w14:textId="7F09612B" w:rsidR="00F37646" w:rsidRPr="003E3909" w:rsidRDefault="004D7470" w:rsidP="003E39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9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 є будь-які докази щодо його застосування?</w:t>
            </w:r>
          </w:p>
          <w:p w14:paraId="7F6C0E4F" w14:textId="17097EDF" w:rsidR="004D7470" w:rsidRDefault="004D7470" w:rsidP="003E39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Зробіть аналіз опублікованих досліджень</w:t>
            </w:r>
            <w:r w:rsidR="003E3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безпеки та ефективності його застосування</w:t>
            </w:r>
          </w:p>
        </w:tc>
      </w:tr>
    </w:tbl>
    <w:tbl>
      <w:tblPr>
        <w:tblpPr w:leftFromText="180" w:rightFromText="180" w:vertAnchor="text" w:tblpX="537" w:tblpY="3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7"/>
      </w:tblGrid>
      <w:tr w:rsidR="00F37646" w14:paraId="767C4A7C" w14:textId="77777777" w:rsidTr="002B10FF">
        <w:trPr>
          <w:trHeight w:val="1800"/>
        </w:trPr>
        <w:tc>
          <w:tcPr>
            <w:tcW w:w="3687" w:type="dxa"/>
          </w:tcPr>
          <w:p w14:paraId="07266517" w14:textId="30E5AE8D" w:rsidR="00F37646" w:rsidRPr="00186F38" w:rsidRDefault="002B10FF" w:rsidP="00186F38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6F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Продовжуйте звичайну процедуру отримання згоди на лікування</w:t>
            </w:r>
          </w:p>
          <w:p w14:paraId="147771F8" w14:textId="6CB8889C" w:rsidR="00186F38" w:rsidRPr="00186F38" w:rsidRDefault="002B10FF" w:rsidP="00186F38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186F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Обговоріть додаткові питання пов’язані зі статусом застосовування лікарських препаратів поза </w:t>
            </w:r>
            <w:r w:rsidR="006444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зареєстрованими</w:t>
            </w:r>
            <w:r w:rsidRPr="00186F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показан</w:t>
            </w:r>
            <w:r w:rsidR="006444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нями</w:t>
            </w:r>
          </w:p>
          <w:p w14:paraId="4A569418" w14:textId="7E5DBCBB" w:rsidR="00186F38" w:rsidRPr="00186F38" w:rsidRDefault="00186F38" w:rsidP="00186F38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186F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У</w:t>
            </w:r>
            <w:r w:rsidR="006444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186F3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деяких випадках є доречним задокументувати процес отримання  інформованої згоди/ або отримати письмову інформовану згоду </w:t>
            </w:r>
          </w:p>
        </w:tc>
      </w:tr>
    </w:tbl>
    <w:tbl>
      <w:tblPr>
        <w:tblpPr w:leftFromText="180" w:rightFromText="180" w:vertAnchor="text" w:tblpX="4987" w:tblpY="37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1"/>
      </w:tblGrid>
      <w:tr w:rsidR="00F37646" w14:paraId="596F8294" w14:textId="77777777" w:rsidTr="00AE41EE">
        <w:trPr>
          <w:trHeight w:val="2160"/>
        </w:trPr>
        <w:tc>
          <w:tcPr>
            <w:tcW w:w="4311" w:type="dxa"/>
          </w:tcPr>
          <w:p w14:paraId="2212E19E" w14:textId="4F42497E" w:rsidR="00F37646" w:rsidRPr="00AE41EE" w:rsidRDefault="003E3909" w:rsidP="00AE41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41E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межах формального дослідження</w:t>
            </w:r>
          </w:p>
          <w:p w14:paraId="3EAB5E02" w14:textId="77777777" w:rsidR="003E3909" w:rsidRPr="00AE41EE" w:rsidRDefault="003E3909" w:rsidP="00AE41EE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Погоджено етичним комітетом дослідницького інституту</w:t>
            </w:r>
          </w:p>
          <w:p w14:paraId="13C075AF" w14:textId="18FF6BA6" w:rsidR="003E3909" w:rsidRPr="00AE41EE" w:rsidRDefault="00AE41EE" w:rsidP="00AE41EE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отримано письмову інформовану згоду</w:t>
            </w:r>
          </w:p>
        </w:tc>
      </w:tr>
    </w:tbl>
    <w:p w14:paraId="3321803E" w14:textId="77777777" w:rsidR="005A2208" w:rsidRDefault="005A2208" w:rsidP="005A2208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X="219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</w:tblGrid>
      <w:tr w:rsidR="003E3909" w14:paraId="1085E703" w14:textId="77777777" w:rsidTr="002B10FF">
        <w:trPr>
          <w:trHeight w:val="2995"/>
        </w:trPr>
        <w:tc>
          <w:tcPr>
            <w:tcW w:w="3828" w:type="dxa"/>
          </w:tcPr>
          <w:p w14:paraId="0E606EB1" w14:textId="53F427F6" w:rsidR="003E3909" w:rsidRPr="002B10FF" w:rsidRDefault="003E3909" w:rsidP="002B10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62909D8" w14:textId="61C23A0C" w:rsidR="003E3909" w:rsidRPr="002B10FF" w:rsidRDefault="002B10FF" w:rsidP="002B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10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ТАК</w:t>
            </w:r>
          </w:p>
          <w:p w14:paraId="3FD604E0" w14:textId="47509C71" w:rsidR="003E3909" w:rsidRDefault="0064443A" w:rsidP="002B10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</w:t>
            </w:r>
            <w:r w:rsidR="002B1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поза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зареєстрованими</w:t>
            </w:r>
            <w:r w:rsidR="002B10FF" w:rsidRPr="00AC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показан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нями</w:t>
            </w:r>
            <w:r w:rsidR="002B1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 виправданим</w:t>
            </w:r>
          </w:p>
        </w:tc>
      </w:tr>
    </w:tbl>
    <w:tbl>
      <w:tblPr>
        <w:tblpPr w:leftFromText="180" w:rightFromText="180" w:vertAnchor="text" w:tblpX="4237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</w:tblGrid>
      <w:tr w:rsidR="00AE41EE" w14:paraId="4D586192" w14:textId="77777777" w:rsidTr="00AE41EE">
        <w:trPr>
          <w:trHeight w:val="405"/>
        </w:trPr>
        <w:tc>
          <w:tcPr>
            <w:tcW w:w="5236" w:type="dxa"/>
          </w:tcPr>
          <w:p w14:paraId="3AB62983" w14:textId="4BB6FAE9" w:rsidR="003E3909" w:rsidRPr="003E3909" w:rsidRDefault="003E3909" w:rsidP="003E390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9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</w:t>
            </w:r>
          </w:p>
          <w:p w14:paraId="79635988" w14:textId="1468387A" w:rsidR="003E3909" w:rsidRDefault="0064443A" w:rsidP="003E390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застосування поза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зареєстрованими</w:t>
            </w:r>
            <w:r w:rsidRPr="00AC2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показан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нями </w:t>
            </w:r>
            <w:r w:rsidR="003E3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зазвичай НЕ є виправданим але може застосовуватися:</w:t>
            </w:r>
          </w:p>
          <w:p w14:paraId="04FBDCF5" w14:textId="77777777" w:rsidR="003E3909" w:rsidRDefault="003E3909" w:rsidP="003E390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D7DF621" w14:textId="77777777" w:rsidR="003E3909" w:rsidRDefault="003E3909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045815D3" w14:textId="77777777" w:rsidR="003E3909" w:rsidRDefault="003E3909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4249FE38" w14:textId="77777777" w:rsidR="003E3909" w:rsidRPr="0032518E" w:rsidRDefault="003E3909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  <w:lang w:val="uk-UA"/>
        </w:rPr>
      </w:pPr>
    </w:p>
    <w:p w14:paraId="2BAA7785" w14:textId="77777777" w:rsidR="003E3909" w:rsidRDefault="003E3909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45B8069A" w14:textId="77777777" w:rsidR="003E3909" w:rsidRDefault="003E3909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7AF82F83" w14:textId="0DB57040" w:rsidR="00AE41EE" w:rsidRDefault="00AE41EE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7619D516" w14:textId="12D9C89A" w:rsidR="00186F38" w:rsidRDefault="00186F38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  <w:r>
        <w:rPr>
          <w:rFonts w:ascii="Times" w:hAnsi="Times" w:cs="Times"/>
          <w:b/>
          <w:bCs/>
          <w:color w:val="FB0007"/>
          <w:sz w:val="32"/>
          <w:szCs w:val="32"/>
        </w:rPr>
        <w:t xml:space="preserve">                          </w:t>
      </w:r>
      <w:r w:rsidRPr="00AE41EE">
        <w:rPr>
          <w:rFonts w:ascii="Times" w:hAnsi="Times" w:cs="Times"/>
          <w:b/>
          <w:bCs/>
          <w:color w:val="000000" w:themeColor="text1"/>
          <w:sz w:val="32"/>
          <w:szCs w:val="32"/>
        </w:rPr>
        <w:t>АБО</w:t>
      </w:r>
    </w:p>
    <w:p w14:paraId="7D6154A0" w14:textId="4DEC1CCD" w:rsidR="003E3909" w:rsidRPr="00AE41EE" w:rsidRDefault="00AE41EE" w:rsidP="00AE41EE">
      <w:pPr>
        <w:tabs>
          <w:tab w:val="left" w:pos="7971"/>
        </w:tabs>
        <w:rPr>
          <w:rFonts w:ascii="Times" w:hAnsi="Times" w:cs="Times"/>
          <w:b/>
          <w:color w:val="000000" w:themeColor="text1"/>
          <w:sz w:val="32"/>
          <w:szCs w:val="32"/>
        </w:rPr>
      </w:pPr>
      <w:r w:rsidRPr="00AE41EE">
        <w:rPr>
          <w:rFonts w:ascii="Times" w:hAnsi="Times" w:cs="Times"/>
          <w:b/>
          <w:color w:val="000000" w:themeColor="text1"/>
          <w:sz w:val="32"/>
          <w:szCs w:val="32"/>
        </w:rPr>
        <w:lastRenderedPageBreak/>
        <w:t xml:space="preserve">                                                                                   </w:t>
      </w:r>
      <w:r w:rsidR="00186F38">
        <w:rPr>
          <w:rFonts w:ascii="Times" w:hAnsi="Times" w:cs="Times"/>
          <w:b/>
          <w:color w:val="000000" w:themeColor="text1"/>
          <w:sz w:val="32"/>
          <w:szCs w:val="32"/>
        </w:rPr>
        <w:t xml:space="preserve">           </w:t>
      </w:r>
    </w:p>
    <w:tbl>
      <w:tblPr>
        <w:tblpPr w:leftFromText="180" w:rightFromText="180" w:vertAnchor="text" w:tblpX="5149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AE41EE" w14:paraId="0EEA7448" w14:textId="77777777" w:rsidTr="00AE41EE">
        <w:trPr>
          <w:trHeight w:val="1611"/>
        </w:trPr>
        <w:tc>
          <w:tcPr>
            <w:tcW w:w="4320" w:type="dxa"/>
          </w:tcPr>
          <w:p w14:paraId="05D06956" w14:textId="6D4A11CB" w:rsidR="00AE41EE" w:rsidRPr="0064443A" w:rsidRDefault="00AE41EE" w:rsidP="00AE41E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443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Виключення</w:t>
            </w:r>
            <w:proofErr w:type="spellEnd"/>
            <w:r w:rsidRPr="0064443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4443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застосування</w:t>
            </w:r>
            <w:proofErr w:type="spellEnd"/>
            <w:r w:rsidRPr="0064443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Pr="0064443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випадку</w:t>
            </w:r>
            <w:proofErr w:type="spellEnd"/>
            <w:r w:rsidRPr="0064443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окремого</w:t>
            </w:r>
            <w:proofErr w:type="spellEnd"/>
            <w:r w:rsidRPr="0064443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пацієнта</w:t>
            </w:r>
            <w:proofErr w:type="spellEnd"/>
            <w:r w:rsidRPr="0064443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за </w:t>
            </w:r>
            <w:proofErr w:type="spellStart"/>
            <w:r w:rsidRPr="0064443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умови</w:t>
            </w:r>
            <w:proofErr w:type="spellEnd"/>
            <w:r w:rsidRPr="0064443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1E370CC5" w14:textId="2AFE7508" w:rsidR="00AE41EE" w:rsidRPr="0064443A" w:rsidRDefault="00AE41EE" w:rsidP="007501DA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Наявна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інша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тяжка хвороба ТА</w:t>
            </w:r>
          </w:p>
          <w:p w14:paraId="0F0BC6C7" w14:textId="7EDC8127" w:rsidR="00AE41EE" w:rsidRPr="0064443A" w:rsidRDefault="00AE41EE" w:rsidP="007501DA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Є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докази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які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підтверджують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позитивний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ефект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застосування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ТА</w:t>
            </w:r>
          </w:p>
          <w:p w14:paraId="3D975615" w14:textId="65B2F4F6" w:rsidR="00AE41EE" w:rsidRPr="0064443A" w:rsidRDefault="00AE41EE" w:rsidP="007501DA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потенційна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користь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перевищує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ризик</w:t>
            </w:r>
            <w:r w:rsidR="007501DA"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  <w:proofErr w:type="spellEnd"/>
            <w:r w:rsidR="007501DA"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ТА</w:t>
            </w:r>
          </w:p>
          <w:p w14:paraId="3109EC36" w14:textId="77777777" w:rsidR="007501DA" w:rsidRPr="0064443A" w:rsidRDefault="007501DA" w:rsidP="007501DA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стандартне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лікування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було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застосоване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або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є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неефективним</w:t>
            </w:r>
            <w:proofErr w:type="spellEnd"/>
          </w:p>
          <w:p w14:paraId="5A534AE3" w14:textId="77777777" w:rsidR="007501DA" w:rsidRPr="0064443A" w:rsidRDefault="007501DA" w:rsidP="007501DA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застосування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препарату </w:t>
            </w:r>
            <w:proofErr w:type="spellStart"/>
            <w:proofErr w:type="gram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погоджено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44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експертним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комітетом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відбору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використання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основних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лікарських</w:t>
            </w:r>
            <w:proofErr w:type="spellEnd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44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засобів</w:t>
            </w:r>
            <w:proofErr w:type="spellEnd"/>
          </w:p>
          <w:p w14:paraId="1969E7B3" w14:textId="486CC852" w:rsidR="00AE41EE" w:rsidRPr="007501DA" w:rsidRDefault="007501DA" w:rsidP="007501DA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60" w:lineRule="atLeast"/>
              <w:rPr>
                <w:rFonts w:ascii="Times" w:hAnsi="Times" w:cs="Times"/>
                <w:bCs/>
                <w:color w:val="000000" w:themeColor="text1"/>
                <w:sz w:val="32"/>
                <w:szCs w:val="32"/>
              </w:rPr>
            </w:pPr>
            <w:r w:rsidRPr="00644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отримано письмову інформовану згоду</w:t>
            </w:r>
          </w:p>
        </w:tc>
      </w:tr>
    </w:tbl>
    <w:p w14:paraId="3816F697" w14:textId="56A0B98E" w:rsidR="00AE41EE" w:rsidRDefault="00AE41EE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  <w:r>
        <w:rPr>
          <w:rFonts w:ascii="Times" w:hAnsi="Times" w:cs="Times"/>
          <w:b/>
          <w:bCs/>
          <w:color w:val="FB0007"/>
          <w:sz w:val="32"/>
          <w:szCs w:val="32"/>
        </w:rPr>
        <w:t xml:space="preserve">                                                             </w:t>
      </w:r>
    </w:p>
    <w:p w14:paraId="3EE3A357" w14:textId="77777777" w:rsidR="00AE41EE" w:rsidRDefault="00AE41EE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1E439BEB" w14:textId="63FEBE9E" w:rsidR="003E3909" w:rsidRDefault="00AE41EE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  <w:r>
        <w:rPr>
          <w:rFonts w:ascii="Times" w:hAnsi="Times" w:cs="Times"/>
          <w:b/>
          <w:bCs/>
          <w:color w:val="FB0007"/>
          <w:sz w:val="32"/>
          <w:szCs w:val="32"/>
        </w:rPr>
        <w:t xml:space="preserve">            </w:t>
      </w:r>
    </w:p>
    <w:p w14:paraId="22C14C6E" w14:textId="77777777" w:rsidR="003E3909" w:rsidRDefault="003E3909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6C9DEB6E" w14:textId="77777777" w:rsidR="003E3909" w:rsidRDefault="003E3909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73C5DE5A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08F01018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7CA623AF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0CB3EEE8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6DE0F758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6A7DEC98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7BEA6658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6A654A15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4AD7FB3E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5ACE5DC7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39F0767B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58FE28B2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24941CE2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6124BFAC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59DA24D1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20C33F05" w14:textId="77777777" w:rsidR="007501DA" w:rsidRPr="0032518E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  <w:lang w:val="uk-UA"/>
        </w:rPr>
      </w:pPr>
    </w:p>
    <w:p w14:paraId="7D55552A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4DB12EDB" w14:textId="77777777" w:rsidR="007501DA" w:rsidRDefault="007501DA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FB0007"/>
          <w:sz w:val="32"/>
          <w:szCs w:val="32"/>
        </w:rPr>
      </w:pPr>
    </w:p>
    <w:p w14:paraId="7A74D490" w14:textId="1C143EAF" w:rsidR="005A2208" w:rsidRDefault="00F446E7" w:rsidP="005A220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4"/>
          <w:szCs w:val="24"/>
        </w:rPr>
      </w:pPr>
      <w:proofErr w:type="spellStart"/>
      <w:r>
        <w:rPr>
          <w:rFonts w:ascii="Times" w:hAnsi="Times" w:cs="Times"/>
          <w:b/>
          <w:bCs/>
          <w:color w:val="FB0007"/>
          <w:sz w:val="32"/>
          <w:szCs w:val="32"/>
        </w:rPr>
        <w:t>Література</w:t>
      </w:r>
      <w:proofErr w:type="spellEnd"/>
    </w:p>
    <w:p w14:paraId="6F0B803C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US Food &amp; Drugs Administration. New Drug Attacks Resistant TB [Internet]. Available from: https://blogs.fda.gov/fdavoice/index.php/2012/12/new-drug-attacks-resistant-tb/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27437B9A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BRIEFING PACKAGE Division of Anti-Infective Products Office of Antimicrobial Products CDER, FDA.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Sirturo</w:t>
      </w:r>
      <w:proofErr w:type="spellEnd"/>
      <w:r w:rsidRPr="00A95C63">
        <w:rPr>
          <w:rFonts w:ascii="Times" w:hAnsi="Times" w:cs="Times"/>
          <w:color w:val="000000"/>
          <w:position w:val="13"/>
          <w:sz w:val="16"/>
          <w:szCs w:val="16"/>
          <w:lang w:val="en-US"/>
        </w:rPr>
        <w:t xml:space="preserve">TM </w:t>
      </w:r>
      <w:r w:rsidRPr="00A95C63">
        <w:rPr>
          <w:rFonts w:ascii="Times" w:hAnsi="Times" w:cs="Times"/>
          <w:color w:val="000000"/>
          <w:sz w:val="24"/>
          <w:szCs w:val="24"/>
          <w:lang w:val="en-US"/>
        </w:rPr>
        <w:t>(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bedaquiline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100 mg tablets) For the treatment of adults (≥ 18 years) as part of combination therapy of pulmonary multi-drug resistant tuberculosis (MDRTB). Applicant: Janssen Research and Development, L.L.C FDA Anti-Infective Drugs Advisory Committee Meeting Silver Spring, MD Date: November 28, 2012 [Internet]. [cited 2013 Feb 21]. Available from: http://www.fda.gov/downloads/AdvisoryCommittees/CommitteesMeetingMaterials/Drugs/Ant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i-InfectiveDrugsAdvisoryCommittee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/UCM329258.pdf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62E99BE2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European Medicines Agency - Find medicine -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Sirturo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[Internet]. [cited 2016 Jan 19]. Available from: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http://www.ema.europa.eu/ema/index.jsp?curl=pages/medicines/human/medicines/002614/h uman_med_001730.jsp&amp;mid=WC0b01ac058001d124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370E1E3F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The use of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bedaquiline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in the treatment of multidrug-resistant tuberculosis. Interim policy guidance (WHO/HTM/TB/2013.6) [Internet]. Geneva, World Health Organization. 2013. Available from: http://apps.who.int/iris/bitstream/10665/84879/1/9789241505482_eng.pdf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33AB1501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Provisional CDC Guidelines for the Use and Safety Monitoring of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Bedaquiline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Fumarate (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Sirturo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) for the Treatment of Multidrug-Resistant Tuberculosis [Internet]. [cited 2017 Aug 4]. Available from: https://www.cdc.gov/mmwr/preview/mmwrhtml/rr6209a1.htm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45519118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Report of the Guideline Development Group Meeting on the use of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bedaquiline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in the treatment of multidrug-resistant tuberculosis (WHO/HTM/TB/2017.01) [Internet].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Geneva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World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Health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Organization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. 2017. </w:t>
      </w: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Available from: http://apps.who.int/iris/bitstream/10665/254712/1/WHO-HTM-TB-2017.01-eng.pdf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6538155E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The use of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delamanid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in the treatment of multidrug-resistant tuberculosis. Interim policy guidance (WHO/HTM/TB/2014.23) [Internet]. Geneva, World Health Organization. 2014. Available from: http://apps.who.int/iris/bitstream/10665/137334/1/WHO_HTM_TB_2014.23_eng.pdf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33989436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European Medicines Agency - Human medicines -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Deltyba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[Internet]. [cited 2013 Dec 17]. Available from: http://www.ema.europa.eu/docs/en_GB/document_library/EPAR_- _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Summary_for_the_public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/human/002552/WC500166235.pdf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7F7AA604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The use of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delamanid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in the treatment of multidrug-resistant tuberculosis in children and adolescents: interim policy guidance (WHO/HTM/TB/2016.14) </w:t>
      </w:r>
      <w:r w:rsidRPr="00A95C63">
        <w:rPr>
          <w:rFonts w:ascii="Times" w:hAnsi="Times" w:cs="Times"/>
          <w:color w:val="000000"/>
          <w:sz w:val="24"/>
          <w:szCs w:val="24"/>
          <w:lang w:val="en-US"/>
        </w:rPr>
        <w:lastRenderedPageBreak/>
        <w:t xml:space="preserve">[Internet].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Geneva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World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Health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Organization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. 2016. </w:t>
      </w: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Available from: http://apps.who.int/iris/bitstream/10665/250614/1/9789241549899-eng.pdf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1F3FF5D2" w14:textId="77777777" w:rsidR="005A2208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</w:rPr>
      </w:pP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Gazarian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M, Kelly M, McPhee JR,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Graudins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LV, Ward RL, Campbell TJ. Off-label use of medicines: consensus recommendations for evaluating appropriateness.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Med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J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Aust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. 2006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Nov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20;185(10):544–8. </w:t>
      </w:r>
      <w:r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73C63142" w14:textId="77777777" w:rsidR="005A2208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Lenk C,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Duttge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G. Ethical and legal framework and regulation for off-label use: European perspective.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Ther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Clin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Risk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Manag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. 2014 Jul;537. </w:t>
      </w:r>
      <w:r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155CA51E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WHO handbook for guideline development [Internet]. 2nd ed. Geneva, World Health Organization; 2014. Available from: http://www.who.int/publications/guidelines/handbook_2nd_ed.pdf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1E37385B" w14:textId="55A8BCCF" w:rsidR="005A2208" w:rsidRPr="00A95C63" w:rsidRDefault="005A2208" w:rsidP="00F446E7">
      <w:pPr>
        <w:pStyle w:val="a7"/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</w:t>
      </w:r>
    </w:p>
    <w:p w14:paraId="447BA540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32518E">
        <w:rPr>
          <w:rFonts w:ascii="Times" w:hAnsi="Times" w:cs="Times"/>
          <w:color w:val="000000"/>
          <w:sz w:val="24"/>
          <w:szCs w:val="24"/>
          <w:lang w:val="en-US"/>
        </w:rPr>
        <w:t xml:space="preserve">GRADE home [Internet]. [cited 2016 May 24]. </w:t>
      </w: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Available from: http://www.gradeworkinggroup.org/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567F5F64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WHO treatment guidelines for drug-resistant tuberculosis, 2016 update (WHO/HTM/TB/2016.04) [Internet].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Geneva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World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Health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Organization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. 2016. </w:t>
      </w: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Available from: http://apps.who.int/iris/bitstream/10665/250125/1/9789241549639-eng.pdf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6F7B62AE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Companion handbook to the WHO guidelines for the programmatic management of drug- resistant tuberculosis. </w:t>
      </w:r>
      <w:r>
        <w:rPr>
          <w:rFonts w:ascii="Times" w:hAnsi="Times" w:cs="Times"/>
          <w:color w:val="000000"/>
          <w:sz w:val="24"/>
          <w:szCs w:val="24"/>
        </w:rPr>
        <w:t>(WHO/HTM/TB/2014.11) [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Internet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].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Geneva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World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Health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Organization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. 2015. </w:t>
      </w: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Available from: http://apps.who.int/iris/bitstream/10665/130918/1/9789241548809_eng.pdf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6B85A7DE" w14:textId="77777777" w:rsidR="005A2208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Ahuja SD,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Ashkin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D,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Avendano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M, Banerjee R, Bauer M,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Bayona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JN, et al. Multidrug resistant pulmonary tuberculosis treatment regimens and patient outcomes: an individual patient data meta-analysis of 9,153 patients.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PLoS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Med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. 2012;9(8):e1001300. </w:t>
      </w:r>
      <w:r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0185D6D4" w14:textId="77777777" w:rsidR="005A2208" w:rsidRPr="0032518E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Ahmad Khan F, Salim MAH, du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Cros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P, Casas EC,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Khamraev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A,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Sikhondze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W, et al. </w:t>
      </w:r>
      <w:r w:rsidRPr="0032518E">
        <w:rPr>
          <w:rFonts w:ascii="Times" w:hAnsi="Times" w:cs="Times"/>
          <w:color w:val="000000"/>
          <w:sz w:val="24"/>
          <w:szCs w:val="24"/>
          <w:lang w:val="en-US"/>
        </w:rPr>
        <w:t xml:space="preserve">Effectiveness and safety of </w:t>
      </w:r>
      <w:proofErr w:type="spellStart"/>
      <w:r w:rsidRPr="0032518E">
        <w:rPr>
          <w:rFonts w:ascii="Times" w:hAnsi="Times" w:cs="Times"/>
          <w:color w:val="000000"/>
          <w:sz w:val="24"/>
          <w:szCs w:val="24"/>
          <w:lang w:val="en-US"/>
        </w:rPr>
        <w:t>standardised</w:t>
      </w:r>
      <w:proofErr w:type="spellEnd"/>
      <w:r w:rsidRPr="0032518E">
        <w:rPr>
          <w:rFonts w:ascii="Times" w:hAnsi="Times" w:cs="Times"/>
          <w:color w:val="000000"/>
          <w:sz w:val="24"/>
          <w:szCs w:val="24"/>
          <w:lang w:val="en-US"/>
        </w:rPr>
        <w:t xml:space="preserve"> shorter regimens for multidrug-resistant tuberculosis: individual patient data and aggregate data meta-analyses. Eur Respir J. 2017 Jul;50(1):1700061. </w:t>
      </w:r>
      <w:r w:rsidRPr="0032518E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068F3B24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WHO treatment guidelines for drug-resistant tuberculosis, 2016 update. Online Annexes 4,5,6 (WHO/HTM/TB/2016.04) [Internet]. Geneva, World Health Organization. 2016. Available from: http://apps.who.int/iris/bitstream/10665/250125/5/9789241549639-webannexes-eng.pdf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3FDC896E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WHO Model List of Essential Medicines. 20th List [Internet]. Geneva, World Health Organization; 2017. Available from: http://www.who.int/medicines/publications/essentialmedicines/20th_EML2017.pdf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0A910C86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WHO Model List of Essential Medicines for Children. 6th List [Internet]. Geneva, World Health Organization; 2017. Available from: </w:t>
      </w:r>
      <w:r w:rsidRPr="00A95C63">
        <w:rPr>
          <w:rFonts w:ascii="Times" w:hAnsi="Times" w:cs="Times"/>
          <w:color w:val="000000"/>
          <w:sz w:val="24"/>
          <w:szCs w:val="24"/>
          <w:lang w:val="en-US"/>
        </w:rPr>
        <w:lastRenderedPageBreak/>
        <w:t xml:space="preserve">http://www.who.int/medicines/publications/essentialmedicines/6th_EMLc2017.pdf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799A36CF" w14:textId="77777777" w:rsidR="005A2208" w:rsidRPr="0032518E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de-DE"/>
        </w:rPr>
        <w:t>Guglielmetti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de-DE"/>
        </w:rPr>
        <w:t xml:space="preserve"> L, Le Du D,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de-DE"/>
        </w:rPr>
        <w:t>Jachym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de-DE"/>
        </w:rPr>
        <w:t xml:space="preserve"> M, Henry B, Martin D,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de-DE"/>
        </w:rPr>
        <w:t>Caumes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de-DE"/>
        </w:rPr>
        <w:t xml:space="preserve"> E, et al. </w:t>
      </w:r>
      <w:r w:rsidRPr="0032518E">
        <w:rPr>
          <w:rFonts w:ascii="Times" w:hAnsi="Times" w:cs="Times"/>
          <w:color w:val="000000"/>
          <w:sz w:val="24"/>
          <w:szCs w:val="24"/>
          <w:lang w:val="en-US"/>
        </w:rPr>
        <w:t xml:space="preserve">Compassionate Use of </w:t>
      </w:r>
      <w:proofErr w:type="spellStart"/>
      <w:r w:rsidRPr="0032518E">
        <w:rPr>
          <w:rFonts w:ascii="Times" w:hAnsi="Times" w:cs="Times"/>
          <w:color w:val="000000"/>
          <w:sz w:val="24"/>
          <w:szCs w:val="24"/>
          <w:lang w:val="en-US"/>
        </w:rPr>
        <w:t>Bedaquiline</w:t>
      </w:r>
      <w:proofErr w:type="spellEnd"/>
      <w:r w:rsidRPr="0032518E">
        <w:rPr>
          <w:rFonts w:ascii="Times" w:hAnsi="Times" w:cs="Times"/>
          <w:color w:val="000000"/>
          <w:sz w:val="24"/>
          <w:szCs w:val="24"/>
          <w:lang w:val="en-US"/>
        </w:rPr>
        <w:t xml:space="preserve"> for the Treatment of Multidrug-Resistant and Extensively Drug-Resistant Tuberculosis: Interim Analysis of a French Cohort. Clin Infect Dis. 2015 Jan 15;60(2):188–94. </w:t>
      </w:r>
      <w:r w:rsidRPr="0032518E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2C35A401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Ethics guidance for the implementation of the End TB Strategy (WHO/HTM/TB/2017.07) [Internet].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Geneva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World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Health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Organization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. 2017. </w:t>
      </w:r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Available from: http://apps.who.int/iris/bitstream/10665/254820/1/9789241512114-eng.pdf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20E17722" w14:textId="77777777" w:rsidR="005A2208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</w:rPr>
      </w:pP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Migliori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G,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Pontali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E,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Sotgiu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G,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Centis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R,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D’Ambrosio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L,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Tiberi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S, et al. Combined Use of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Delamanid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and 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Bedaquiline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 to Treat Multidrug-Resistant and Extensively Drug-Resistant Tuberculosis: A Systematic Review.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Int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J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Mol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Sci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. 2017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Feb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7;18(2):341. </w:t>
      </w:r>
      <w:r>
        <w:rPr>
          <w:rFonts w:ascii="MS Mincho" w:eastAsia="MS Mincho" w:hAnsi="MS Mincho" w:cs="MS Mincho"/>
          <w:color w:val="000000"/>
          <w:sz w:val="24"/>
          <w:szCs w:val="24"/>
        </w:rPr>
        <w:t> </w:t>
      </w:r>
    </w:p>
    <w:p w14:paraId="04A412BF" w14:textId="77777777" w:rsidR="005A2208" w:rsidRPr="00A95C63" w:rsidRDefault="005A2208" w:rsidP="00F446E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  <w:sz w:val="24"/>
          <w:szCs w:val="24"/>
          <w:lang w:val="en-US"/>
        </w:rPr>
      </w:pPr>
      <w:r w:rsidRPr="00A95C63">
        <w:rPr>
          <w:rFonts w:ascii="Times" w:hAnsi="Times" w:cs="Times"/>
          <w:color w:val="000000"/>
          <w:sz w:val="24"/>
          <w:szCs w:val="24"/>
          <w:lang w:val="en-US"/>
        </w:rPr>
        <w:t>Active tuberculosis drug-safety monitoring and management (</w:t>
      </w:r>
      <w:proofErr w:type="spell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aDSM</w:t>
      </w:r>
      <w:proofErr w:type="spell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). Framework for </w:t>
      </w:r>
      <w:proofErr w:type="gramStart"/>
      <w:r w:rsidRPr="00A95C63">
        <w:rPr>
          <w:rFonts w:ascii="Times" w:hAnsi="Times" w:cs="Times"/>
          <w:color w:val="000000"/>
          <w:sz w:val="24"/>
          <w:szCs w:val="24"/>
          <w:lang w:val="en-US"/>
        </w:rPr>
        <w:t>implementation.(</w:t>
      </w:r>
      <w:proofErr w:type="gramEnd"/>
      <w:r w:rsidRPr="00A95C63">
        <w:rPr>
          <w:rFonts w:ascii="Times" w:hAnsi="Times" w:cs="Times"/>
          <w:color w:val="000000"/>
          <w:sz w:val="24"/>
          <w:szCs w:val="24"/>
          <w:lang w:val="en-US"/>
        </w:rPr>
        <w:t xml:space="preserve">WHO/HTM/TB/2015.28) [Internet]. Geneva, World Health Organization; 2015. Available from: http://apps.who.int/iris/bitstream/10665/204465/1/WHO_HTM_TB_2015.28_eng.pdf </w:t>
      </w:r>
      <w:r w:rsidRPr="00A95C63">
        <w:rPr>
          <w:rFonts w:ascii="MS Mincho" w:eastAsia="MS Mincho" w:hAnsi="MS Mincho" w:cs="MS Mincho"/>
          <w:color w:val="000000"/>
          <w:sz w:val="24"/>
          <w:szCs w:val="24"/>
          <w:lang w:val="en-US"/>
        </w:rPr>
        <w:t> </w:t>
      </w:r>
    </w:p>
    <w:p w14:paraId="3AC1CE17" w14:textId="7A7A6F7B" w:rsidR="00F37646" w:rsidRPr="005A2208" w:rsidRDefault="00F37646" w:rsidP="005A2208">
      <w:pPr>
        <w:tabs>
          <w:tab w:val="left" w:pos="116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F37646" w:rsidRPr="005A220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A5F43" w14:textId="77777777" w:rsidR="00645956" w:rsidRDefault="00645956" w:rsidP="00656EF3">
      <w:pPr>
        <w:spacing w:after="0" w:line="240" w:lineRule="auto"/>
      </w:pPr>
      <w:r>
        <w:separator/>
      </w:r>
    </w:p>
  </w:endnote>
  <w:endnote w:type="continuationSeparator" w:id="0">
    <w:p w14:paraId="2BB97B74" w14:textId="77777777" w:rsidR="00645956" w:rsidRDefault="00645956" w:rsidP="0065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6084087"/>
      <w:docPartObj>
        <w:docPartGallery w:val="Page Numbers (Bottom of Page)"/>
        <w:docPartUnique/>
      </w:docPartObj>
    </w:sdtPr>
    <w:sdtEndPr/>
    <w:sdtContent>
      <w:p w14:paraId="66BDBBFE" w14:textId="77777777" w:rsidR="00656EF3" w:rsidRDefault="00656E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51D">
          <w:rPr>
            <w:noProof/>
          </w:rPr>
          <w:t>12</w:t>
        </w:r>
        <w:r>
          <w:fldChar w:fldCharType="end"/>
        </w:r>
      </w:p>
    </w:sdtContent>
  </w:sdt>
  <w:p w14:paraId="17E1F8CF" w14:textId="77777777" w:rsidR="00656EF3" w:rsidRDefault="00656E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0E20F" w14:textId="77777777" w:rsidR="00645956" w:rsidRDefault="00645956" w:rsidP="00656EF3">
      <w:pPr>
        <w:spacing w:after="0" w:line="240" w:lineRule="auto"/>
      </w:pPr>
      <w:r>
        <w:separator/>
      </w:r>
    </w:p>
  </w:footnote>
  <w:footnote w:type="continuationSeparator" w:id="0">
    <w:p w14:paraId="7F095D22" w14:textId="77777777" w:rsidR="00645956" w:rsidRDefault="00645956" w:rsidP="00656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4D14D1"/>
    <w:multiLevelType w:val="hybridMultilevel"/>
    <w:tmpl w:val="7F70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40236"/>
    <w:multiLevelType w:val="hybridMultilevel"/>
    <w:tmpl w:val="E4FE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50A12"/>
    <w:multiLevelType w:val="hybridMultilevel"/>
    <w:tmpl w:val="0D304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E"/>
    <w:rsid w:val="00002412"/>
    <w:rsid w:val="000101E4"/>
    <w:rsid w:val="00023C70"/>
    <w:rsid w:val="00041369"/>
    <w:rsid w:val="00050894"/>
    <w:rsid w:val="000825B2"/>
    <w:rsid w:val="000A20B0"/>
    <w:rsid w:val="000B6F9A"/>
    <w:rsid w:val="000E5869"/>
    <w:rsid w:val="000E7486"/>
    <w:rsid w:val="001022E8"/>
    <w:rsid w:val="00105990"/>
    <w:rsid w:val="00107A1F"/>
    <w:rsid w:val="001578AB"/>
    <w:rsid w:val="00170670"/>
    <w:rsid w:val="0017698B"/>
    <w:rsid w:val="00186F38"/>
    <w:rsid w:val="001D4090"/>
    <w:rsid w:val="001E0445"/>
    <w:rsid w:val="001E651D"/>
    <w:rsid w:val="001E6FA2"/>
    <w:rsid w:val="00201CD5"/>
    <w:rsid w:val="00205FCF"/>
    <w:rsid w:val="002221C1"/>
    <w:rsid w:val="002342CE"/>
    <w:rsid w:val="002454DB"/>
    <w:rsid w:val="002A6317"/>
    <w:rsid w:val="002B10FF"/>
    <w:rsid w:val="002C48F3"/>
    <w:rsid w:val="002D7C9B"/>
    <w:rsid w:val="002E230F"/>
    <w:rsid w:val="0032518E"/>
    <w:rsid w:val="003761CC"/>
    <w:rsid w:val="0037697A"/>
    <w:rsid w:val="003A4894"/>
    <w:rsid w:val="003A5BB3"/>
    <w:rsid w:val="003B5196"/>
    <w:rsid w:val="003C68A9"/>
    <w:rsid w:val="003E3909"/>
    <w:rsid w:val="004002F3"/>
    <w:rsid w:val="00401231"/>
    <w:rsid w:val="00423568"/>
    <w:rsid w:val="004322A1"/>
    <w:rsid w:val="0043470C"/>
    <w:rsid w:val="00437920"/>
    <w:rsid w:val="004412B8"/>
    <w:rsid w:val="00443E3C"/>
    <w:rsid w:val="00485883"/>
    <w:rsid w:val="00486B1D"/>
    <w:rsid w:val="00492D86"/>
    <w:rsid w:val="004B4680"/>
    <w:rsid w:val="004C6C32"/>
    <w:rsid w:val="004D7470"/>
    <w:rsid w:val="004D7CCE"/>
    <w:rsid w:val="004F3BD8"/>
    <w:rsid w:val="0051060F"/>
    <w:rsid w:val="00520B08"/>
    <w:rsid w:val="0052799D"/>
    <w:rsid w:val="00532510"/>
    <w:rsid w:val="00541514"/>
    <w:rsid w:val="005835F8"/>
    <w:rsid w:val="00583B80"/>
    <w:rsid w:val="005A01A8"/>
    <w:rsid w:val="005A2208"/>
    <w:rsid w:val="005F7917"/>
    <w:rsid w:val="0060501A"/>
    <w:rsid w:val="006136B1"/>
    <w:rsid w:val="00642FF9"/>
    <w:rsid w:val="0064443A"/>
    <w:rsid w:val="00645956"/>
    <w:rsid w:val="00653651"/>
    <w:rsid w:val="00656EF3"/>
    <w:rsid w:val="006A72C2"/>
    <w:rsid w:val="006F320B"/>
    <w:rsid w:val="0071271A"/>
    <w:rsid w:val="0071339A"/>
    <w:rsid w:val="007175C6"/>
    <w:rsid w:val="00720E24"/>
    <w:rsid w:val="00723F55"/>
    <w:rsid w:val="007501DA"/>
    <w:rsid w:val="00794AB1"/>
    <w:rsid w:val="007F7942"/>
    <w:rsid w:val="00833AF0"/>
    <w:rsid w:val="00855F0E"/>
    <w:rsid w:val="008670D8"/>
    <w:rsid w:val="008A0E71"/>
    <w:rsid w:val="008B333A"/>
    <w:rsid w:val="008F3F6B"/>
    <w:rsid w:val="009078E4"/>
    <w:rsid w:val="00914B19"/>
    <w:rsid w:val="009308C8"/>
    <w:rsid w:val="00935554"/>
    <w:rsid w:val="00941F70"/>
    <w:rsid w:val="009443AF"/>
    <w:rsid w:val="009472FF"/>
    <w:rsid w:val="00956674"/>
    <w:rsid w:val="00981262"/>
    <w:rsid w:val="00982D5B"/>
    <w:rsid w:val="009D3CD7"/>
    <w:rsid w:val="009F7819"/>
    <w:rsid w:val="00A11B7B"/>
    <w:rsid w:val="00A369DB"/>
    <w:rsid w:val="00A473F2"/>
    <w:rsid w:val="00A53FC3"/>
    <w:rsid w:val="00A60571"/>
    <w:rsid w:val="00A77BFD"/>
    <w:rsid w:val="00A9025E"/>
    <w:rsid w:val="00A95C63"/>
    <w:rsid w:val="00A96963"/>
    <w:rsid w:val="00AB35E4"/>
    <w:rsid w:val="00AC292B"/>
    <w:rsid w:val="00AD6A0E"/>
    <w:rsid w:val="00AE41EE"/>
    <w:rsid w:val="00B03ACB"/>
    <w:rsid w:val="00B570D5"/>
    <w:rsid w:val="00B6681D"/>
    <w:rsid w:val="00B9292C"/>
    <w:rsid w:val="00BA54C1"/>
    <w:rsid w:val="00BB5CCB"/>
    <w:rsid w:val="00BC0CF8"/>
    <w:rsid w:val="00BE39C0"/>
    <w:rsid w:val="00BF0057"/>
    <w:rsid w:val="00C11EC0"/>
    <w:rsid w:val="00C13097"/>
    <w:rsid w:val="00C23737"/>
    <w:rsid w:val="00C30CB1"/>
    <w:rsid w:val="00C51A86"/>
    <w:rsid w:val="00C572B8"/>
    <w:rsid w:val="00C761AF"/>
    <w:rsid w:val="00C7720F"/>
    <w:rsid w:val="00CA0486"/>
    <w:rsid w:val="00CB5446"/>
    <w:rsid w:val="00CC4E28"/>
    <w:rsid w:val="00CC5015"/>
    <w:rsid w:val="00CE2224"/>
    <w:rsid w:val="00D034E8"/>
    <w:rsid w:val="00D336D6"/>
    <w:rsid w:val="00D355A0"/>
    <w:rsid w:val="00D60DD4"/>
    <w:rsid w:val="00D64546"/>
    <w:rsid w:val="00D652C8"/>
    <w:rsid w:val="00D902B3"/>
    <w:rsid w:val="00DB3361"/>
    <w:rsid w:val="00E04DED"/>
    <w:rsid w:val="00E06845"/>
    <w:rsid w:val="00E32350"/>
    <w:rsid w:val="00E71478"/>
    <w:rsid w:val="00E86850"/>
    <w:rsid w:val="00E877DE"/>
    <w:rsid w:val="00EA2585"/>
    <w:rsid w:val="00EE1736"/>
    <w:rsid w:val="00EF1C5C"/>
    <w:rsid w:val="00F05AF0"/>
    <w:rsid w:val="00F06947"/>
    <w:rsid w:val="00F2451A"/>
    <w:rsid w:val="00F34CA7"/>
    <w:rsid w:val="00F37646"/>
    <w:rsid w:val="00F446E7"/>
    <w:rsid w:val="00F51906"/>
    <w:rsid w:val="00F675E6"/>
    <w:rsid w:val="00F75AB3"/>
    <w:rsid w:val="00F83247"/>
    <w:rsid w:val="00FA1074"/>
    <w:rsid w:val="00FD64DF"/>
    <w:rsid w:val="00FE1101"/>
    <w:rsid w:val="00FE67F8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1775"/>
  <w15:docId w15:val="{9B3489AA-27B9-4CDC-99E5-AFC48377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EF3"/>
  </w:style>
  <w:style w:type="paragraph" w:styleId="a5">
    <w:name w:val="footer"/>
    <w:basedOn w:val="a"/>
    <w:link w:val="a6"/>
    <w:uiPriority w:val="99"/>
    <w:unhideWhenUsed/>
    <w:rsid w:val="00656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6EF3"/>
  </w:style>
  <w:style w:type="paragraph" w:styleId="a7">
    <w:name w:val="List Paragraph"/>
    <w:basedOn w:val="a"/>
    <w:uiPriority w:val="34"/>
    <w:qFormat/>
    <w:rsid w:val="00FE67F8"/>
    <w:pPr>
      <w:ind w:left="720"/>
      <w:contextualSpacing/>
    </w:pPr>
  </w:style>
  <w:style w:type="table" w:styleId="a8">
    <w:name w:val="Table Grid"/>
    <w:basedOn w:val="a1"/>
    <w:uiPriority w:val="59"/>
    <w:rsid w:val="00F3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5C6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631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34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publications/guidelines/handbook_2nd_e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ho.int/tb/areas-of-work/drug-resistant-tb/treatment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who.int/iris/bitstream/10665/250125/1/9789241549639-eng.pdf%20&#823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8B38-DB3F-44BA-A62E-D619BB41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14942</Words>
  <Characters>8517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PHC</cp:lastModifiedBy>
  <cp:revision>2</cp:revision>
  <dcterms:created xsi:type="dcterms:W3CDTF">2018-09-05T12:07:00Z</dcterms:created>
  <dcterms:modified xsi:type="dcterms:W3CDTF">2018-09-05T12:07:00Z</dcterms:modified>
</cp:coreProperties>
</file>